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宋体" w:eastAsia="宋体" w:cs="Times New Roman"/>
          <w:b/>
          <w:bCs/>
          <w:sz w:val="32"/>
          <w:szCs w:val="32"/>
          <w:lang w:eastAsia="zh-CN"/>
        </w:rPr>
        <w:t>2021届广州普通高中毕业班上学期物理一模试题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本试卷共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页，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小题，满分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分。考试用时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分钟。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注意事项：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答卷前，考生务必将自己的姓名、考生号、试室号和座位号填写在答题卡上。用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铅笔将试卷类型（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填涂在答题卡相应位置上，并在答题卡相应位置上填涂考生号。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作答选择题时，选出每小题答案后，用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铅笔把答题卡上对应题目选项的答案信息点涂黑；如需改动，用橡皮擦干净后，再选涂其他答案。答案不能答在试卷上。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非选择题必须用黑色字迹的钢笔或签字笔作答，答案必须写在答题卡各题目指定区域内相应位置上；如需改动，先划掉原来的答案，然后再写上新答案；不准使用铅笔和涂改液。不按以上要求作答无效。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考生必须保证答题卡的整洁。考试结束后，将试卷和答题卡一并交回。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一、单项选择题：本题共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7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小题，每小题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28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分。在每小题给出的四个选项中，只有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一项符合题目要求。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264795</wp:posOffset>
            </wp:positionV>
            <wp:extent cx="1781175" cy="981075"/>
            <wp:effectExtent l="19050" t="0" r="9525" b="0"/>
            <wp:wrapTight wrapText="bothSides">
              <wp:wrapPolygon>
                <wp:start x="-231" y="0"/>
                <wp:lineTo x="-231" y="21390"/>
                <wp:lineTo x="21716" y="21390"/>
                <wp:lineTo x="21716" y="0"/>
                <wp:lineTo x="-231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1831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日，法拉第在一个软铁圆环上绕两个互相绝缘的线圈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与电池、开关组成回路，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的两端用导线连接，导线正下方有一枚小磁针。使法拉第在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磁生电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方面取得破性进展的现象是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闭合开关瞬间，观察到小磁针发生偏转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闭合开关后，观察到小磁针保持偏转状态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断开开关瞬间，观察到小磁针不发生偏转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断开开关后，观察到小磁针保持偏转状态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广东大亚湾核电站是我国首座利用核裂变发电的大型商用核电站。核裂变反应方程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1514475" cy="20955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为电子，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a=1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为质子，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a=3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116205</wp:posOffset>
            </wp:positionV>
            <wp:extent cx="1543050" cy="1095375"/>
            <wp:effectExtent l="19050" t="0" r="0" b="0"/>
            <wp:wrapTight wrapText="bothSides">
              <wp:wrapPolygon>
                <wp:start x="-267" y="0"/>
                <wp:lineTo x="-267" y="21412"/>
                <wp:lineTo x="21600" y="21412"/>
                <wp:lineTo x="21600" y="0"/>
                <wp:lineTo x="-267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为质子，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a=2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为中子，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a=3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如图为电容式话筒的原理图，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为电源，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R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为电阻，薄片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Q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为电容器两金属极板。人对着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说话，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振动而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Q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不动。在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Q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间距离减小的过程中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电容器的电容不变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通过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R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的电流为零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C.Q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极板的带电量变大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D.R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中有从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流向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的电流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理想变压器的原线圈接入图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所示的正弦交变电压。副线圈接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个并联的彩色灯泡，每个灯泡的额定电压为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4V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、额定电流为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0.1A.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若灯泡都正常工作，则</w:t>
      </w:r>
    </w:p>
    <w:p>
      <w:pPr>
        <w:pStyle w:val="19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438525" cy="97155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中电压的有效值为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311V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中交流电的频率为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25Hz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中原线圈上的电流为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1A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中原副线圈的匝数比为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55:1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我国于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日发射的嫦娥五号月球探测器成功实施无人月面取样返回。已知地球的质量为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、表面的重力加速度大小为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、半径为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、第一宇宙速度为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月球的质量为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、表面的重力加速度大小为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、半径为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、月球探测器近月环绕速度为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则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之比为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57200" cy="40957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B.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47675" cy="447675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C.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23850" cy="4286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23850" cy="400050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126365</wp:posOffset>
            </wp:positionV>
            <wp:extent cx="2228850" cy="990600"/>
            <wp:effectExtent l="19050" t="0" r="0" b="0"/>
            <wp:wrapTight wrapText="bothSides">
              <wp:wrapPolygon>
                <wp:start x="-185" y="0"/>
                <wp:lineTo x="-185" y="21185"/>
                <wp:lineTo x="21600" y="21185"/>
                <wp:lineTo x="21600" y="0"/>
                <wp:lineTo x="-185" y="0"/>
              </wp:wrapPolygon>
            </wp:wrapTight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如图，质量为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的滑雪运动员（含滑雪板）从斜面上距离水平面高为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h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的位置静止滑下，停在水平面上的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处；若从同一位置以初速度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滑下，则停在同一水平面上的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处，且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相等。已知重力加速度为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不计空气阻力与通过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处的机械能损失，则该运动员（含滑雪板）在斜面上克服阻力做的功为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</w:rPr>
        <w:t>A.mgh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               </w:t>
      </w:r>
      <w:r>
        <w:rPr>
          <w:rFonts w:ascii="Times New Roman" w:hAnsi="Times New Roman" w:eastAsia="宋体" w:cs="Times New Roman"/>
          <w:sz w:val="21"/>
          <w:szCs w:val="21"/>
        </w:rPr>
        <w:t>B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90525" cy="314325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742950" cy="31432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D.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647700" cy="314325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12065</wp:posOffset>
            </wp:positionV>
            <wp:extent cx="2266950" cy="1685925"/>
            <wp:effectExtent l="19050" t="0" r="0" b="0"/>
            <wp:wrapTight wrapText="bothSides">
              <wp:wrapPolygon>
                <wp:start x="-182" y="0"/>
                <wp:lineTo x="-182" y="21478"/>
                <wp:lineTo x="21600" y="21478"/>
                <wp:lineTo x="21600" y="0"/>
                <wp:lineTo x="-182" y="0"/>
              </wp:wrapPolygon>
            </wp:wrapTight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如图为车牌自动识别系统的直杆道闸，离地面高为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1m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的细直杆可绕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在竖直面内匀速转动。汽车从自动识别线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处到达直杆处的时间为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3.3s,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自动识别系统的反应时间为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0.3s;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汽车可看成高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1.6m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的长方体，其左侧面底边在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aa'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直线上，且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到汽车左侧面的距离为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0.6m,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要使汽车安全通过道闸，直杆转动的角速度至少为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A.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428625" cy="333375"/>
            <wp:effectExtent l="19050" t="0" r="952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B.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495300" cy="342900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C.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466725" cy="314325"/>
            <wp:effectExtent l="19050" t="0" r="9525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D.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495300" cy="333375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二、多项选择题：本题共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小题，第小题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18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分。在每小题给出的四个选项中，有多项符合题目要求。全部选对的得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分，选对但不全的得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分，有选错的得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0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55880</wp:posOffset>
            </wp:positionV>
            <wp:extent cx="1743075" cy="1152525"/>
            <wp:effectExtent l="19050" t="0" r="9525" b="0"/>
            <wp:wrapTight wrapText="bothSides">
              <wp:wrapPolygon>
                <wp:start x="-236" y="0"/>
                <wp:lineTo x="-236" y="21421"/>
                <wp:lineTo x="21718" y="21421"/>
                <wp:lineTo x="21718" y="0"/>
                <wp:lineTo x="-236" y="0"/>
              </wp:wrapPolygon>
            </wp:wrapTight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正方形金属线框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abcd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如图靠墙放置，空间中存在竖直向上的匀强磁场。在外力作用下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边贴着墙面向下运动，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边贴着水平面向左运动，此过程中线框的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磁通量增加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磁通量减小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感应电流方向为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abcda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感应电流方向为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adcba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9.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长木板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放在光滑的水平地面上，在其上表面放一小物块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以地面为参考系，给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以大小均为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、方向相反的初速度，最后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没有滑离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的初速度方向为正方向，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v-t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图象可能正确的是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5486400" cy="1111250"/>
            <wp:effectExtent l="1905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1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54000" cy="254000"/>
            <wp:effectExtent l="0" t="0" r="0" b="0"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图片 10003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43180</wp:posOffset>
            </wp:positionV>
            <wp:extent cx="1790700" cy="1019175"/>
            <wp:effectExtent l="19050" t="0" r="0" b="0"/>
            <wp:wrapTight wrapText="bothSides">
              <wp:wrapPolygon>
                <wp:start x="-230" y="0"/>
                <wp:lineTo x="-230" y="21398"/>
                <wp:lineTo x="21600" y="21398"/>
                <wp:lineTo x="21600" y="0"/>
                <wp:lineTo x="-230" y="0"/>
              </wp:wrapPolygon>
            </wp:wrapTight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如图，篮球比赛的某次快攻中，球员甲将球斜向上传给前方队友，球传出瞬间离地面高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速度大小为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10m/s;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对方球员乙原地竖直起跳拦截，其跃起后手离地面的最大高度为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2.8m,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球越过乙时速度沿水平方向，且恰好未被拦截。球可视为质点，质量为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0.6kg,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重力加速度取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10m/s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以地面为零势能面，忽略空气阻力，则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球在空中上升时处于超重状态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   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甲传球时，球与乙的水平距离为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4.8m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队友接球前瞬间，球的机械能一定为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36J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 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队友接球前瞬间，球的动能一定为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30J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三、非选择题：共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54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分。第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11~14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题为必考题，每个试题考生都必须作答。第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15~16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题为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选考题，考生根据要求作答。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（一）必考题：共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42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11.(7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分）某研究小组做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验证力的平行四边形定则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实验，将白纸固定在水平放置的木板上，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橡皮筋的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端用图钉固定在木板上，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端系上两根带有绳套的细绳。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848225" cy="2727960"/>
            <wp:effectExtent l="19050" t="0" r="9525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50505" cy="272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a),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用两个弹簧测力计通过细绳沿平行木板的不同方向同时拉橡皮筋，将橡皮筋的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端拉至某点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记下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点位置和两细绳的方向，并读出两个拉力的大小分别为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eastAsia="zh-CN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=2.00N.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b),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撤去（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中的拉力，现只用一个弹簧测力计通过细绳沿平行木板的方向拉橡皮筋，并再次将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端拉至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点。再次将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端拉至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点的目的是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；记下细绳的方向，并读出拉力的大小为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F=2.20N.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c),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某同学以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点为作用点，用图示标度画出了力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的图示，请你画出力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的图示并按平行四边形定则画出它们的合力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宋体" w:eastAsia="宋体" w:cs="Times New Roman"/>
          <w:sz w:val="21"/>
          <w:szCs w:val="21"/>
          <w:vertAlign w:val="subscript"/>
          <w:lang w:eastAsia="zh-CN"/>
        </w:rPr>
        <w:t>合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比较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宋体" w:eastAsia="宋体" w:cs="Times New Roman"/>
          <w:sz w:val="21"/>
          <w:szCs w:val="21"/>
          <w:vertAlign w:val="subscript"/>
          <w:lang w:eastAsia="zh-CN"/>
        </w:rPr>
        <w:t>合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的关系，即可验证。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12.(9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某同学为了制作一个简易台灯：先将电源、开关、小灯泡和滑动变阻器连成图甲所示的电路，闭合开关，调节滑动变阻器的滑片，使小灯泡达到合适亮度；然后用图乙所示的多用电表测量滑动变阻器接入电路的阻值，以便用定值电阻代替滑动变阻器完成制作。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5391150" cy="2176780"/>
            <wp:effectExtent l="1905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94910" cy="217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请完成相关实验步骤（多用电表已机械调零，小灯泡仍在发光）：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预估：根据滑动变阻器的最大阻值及滑片位置，估计接入电路的阻值约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</w:t>
      </w:r>
      <w:r>
        <w:rPr>
          <w:rFonts w:ascii="Times New Roman" w:hAnsi="Times New Roman" w:eastAsia="宋体" w:cs="Times New Roman"/>
          <w:sz w:val="21"/>
          <w:szCs w:val="21"/>
        </w:rPr>
        <w:t>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;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选挡：将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（选填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“K”“S”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“T”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）旋转到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位置；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调零：将红、黑表笔分别插入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－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插孔，短接红黑表笔，旋转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（选填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“K”“S”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“T”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），使指针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;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测量：</w:t>
      </w: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hint="eastAsia" w:ascii="宋体" w:hAnsi="宋体" w:eastAsia="宋体" w:cs="Times New Roman"/>
          <w:sz w:val="21"/>
          <w:szCs w:val="21"/>
          <w:u w:val="single"/>
          <w:lang w:eastAsia="zh-CN"/>
        </w:rPr>
        <w:t xml:space="preserve">                        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;</w:t>
      </w: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将黑表笔与滑动变阻器金属杆上的接线柱接触，红表笔与滑动变阻器的接线柱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（选填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“a”“b”“c”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“d”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）接触。多用电表的指针位置如图丙，其读数为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</w:rPr>
        <w:t>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.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13.(10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分）如图，单人双桨赛艇比赛中，运动员用双桨同步划水使赛艇沿直线运动。运动员每次动作分为划水和空中运桨两个阶段，假设划水和空中运桨用时均为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0.8s,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赛艇（含运动员、双桨）质量为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70kg,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受到的阻力恒定，划水时双桨产生动力大小为赛艇所受阻力的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倍。某时刻双桨刚入水时赛艇的速度大小为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4m/s,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运动员紧接着完成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次动作，此过程赛艇前进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求：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1895475" cy="790575"/>
            <wp:effectExtent l="19050" t="0" r="9525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划水和空中运桨两阶段赛艇的加速度大小之比；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赛艇的最大速度大小和受到的恒定阻力大小。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7620</wp:posOffset>
            </wp:positionV>
            <wp:extent cx="1504950" cy="1819275"/>
            <wp:effectExtent l="19050" t="0" r="0" b="0"/>
            <wp:wrapTight wrapText="bothSides">
              <wp:wrapPolygon>
                <wp:start x="-273" y="0"/>
                <wp:lineTo x="-273" y="21487"/>
                <wp:lineTo x="21600" y="21487"/>
                <wp:lineTo x="21600" y="0"/>
                <wp:lineTo x="-273" y="0"/>
              </wp:wrapPolygon>
            </wp:wrapTight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14.(16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分）如图，在竖直平面的矩形区域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abcd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内有竖直向上的匀强电场。一带电小球从竖直边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上的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点以某一速度射入该区域，小球沿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做匀速直线运动。若在该区域内再加入垂直纸面向里的匀强磁场，完全相同的带电小球仍以相同的速度从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点射入该区域，则小球最终从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边的某点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k(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图中未标出）垂直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离开该区域。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已知：小球质量为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带电量为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q,ad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长为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L,ap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长为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233680" cy="342900"/>
            <wp:effectExtent l="1905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379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 p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长为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104775" cy="295275"/>
            <wp:effectExtent l="19050" t="0" r="9313" b="0"/>
            <wp:docPr id="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4987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L,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磁感应强度大小为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重力加速度大小为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小球在磁场中的运动时间小于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276225" cy="295910"/>
            <wp:effectExtent l="19050" t="0" r="9525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9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。求：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匀强电场的场强大小；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带电小球的入射速度大小；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3)k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两点之间的电势差。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（二）选考题：共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12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分。请考生从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道题中任选一题作答。如果多做，则按所做的第一题计分。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15.[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选修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3-3](12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1)(4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分）容积一定的密闭容器内有一定质量的理想气体，在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T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T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两种温度下气体分子的速率分布如图所示，其中温度为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（选填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“T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“T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）时对应气体的内能较大；该气体温度由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T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变化到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T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的过程必须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（选填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吸热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放热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）。</w:t>
      </w:r>
    </w:p>
    <w:p>
      <w:pPr>
        <w:pStyle w:val="19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333625" cy="1438275"/>
            <wp:effectExtent l="19050" t="0" r="9525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2)(8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如图是由气缸、活塞柱、弹簧和上下支座构成的汽车减震装置，该装置的质量、活塞柱与气缸摩擦均可忽略不计，气缸导热性和气密性良好。该装置未安装到汽车上时，弹簧处于原长状态，气缸内的气体可视为理想气体，压强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1.0x10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Pa,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封闭气体和活塞柱长度均为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0.20m,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活塞柱横截面积为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1.0x10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-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m</w:t>
      </w:r>
      <w:r>
        <w:rPr>
          <w:rFonts w:hint="eastAsia" w:ascii="Times New Roman" w:hAnsi="宋体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;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该装置竖直安装到汽车上后，其承载的力为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3.0x10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3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时，弹簧的压缩量为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0.10m.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大气压强恒为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1.0x10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Pa,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环境温度不变。求该装置中弹簧的劲度系数。</w:t>
      </w:r>
    </w:p>
    <w:p>
      <w:pPr>
        <w:pStyle w:val="19"/>
        <w:spacing w:after="0" w:line="240" w:lineRule="auto"/>
        <w:jc w:val="right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1657350" cy="1390650"/>
            <wp:effectExtent l="1905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16.[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选修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3-4](12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1)(4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分）如右图为一单摆的共振曲线。由图可知该单摆共振时的振幅为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cm;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该单摆的固有周期为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.</w:t>
      </w:r>
    </w:p>
    <w:p>
      <w:pPr>
        <w:pStyle w:val="19"/>
        <w:spacing w:after="0" w:line="240" w:lineRule="auto"/>
        <w:jc w:val="right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1724025" cy="1362075"/>
            <wp:effectExtent l="19050" t="0" r="9525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2)(8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分）如图甲，某汽车大灯距水平地面的高度为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81cm,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图乙为该大灯结构的简化图。现有一束光从焦点处射出，经旋转抛物面反射后，垂直半球透镜的竖直直径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点射入透镜。已知透镜直径远小于大灯离地面高度，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714375" cy="409575"/>
            <wp:effectExtent l="19050" t="0" r="9525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半球透镜的折射率为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165735" cy="152400"/>
            <wp:effectExtent l="19050" t="0" r="5195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625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,tan15°≈0.27.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求这束光照射到地面的位置与大灯间的水平距离。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4733925" cy="1409700"/>
            <wp:effectExtent l="19050" t="0" r="9525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</w:p>
    <w:sectPr>
      <w:headerReference r:id="rId5" w:type="default"/>
      <w:footerReference r:id="rId6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0"/>
      </w:pBdr>
      <w:tabs>
        <w:tab w:val="center" w:pos="4153"/>
        <w:tab w:val="right" w:pos="8306"/>
        <w:tab w:val="clear" w:pos="4680"/>
        <w:tab w:val="clear" w:pos="9360"/>
      </w:tabs>
    </w:pPr>
    <w:r>
      <w:rPr>
        <w:rFonts w:hint="eastAsia"/>
      </w:rPr>
      <w:t>智浪教育—普惠英才文库</w:t>
    </w:r>
  </w:p>
  <w:p>
    <w:pPr>
      <w:pStyle w:val="26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47730"/>
    <w:rsid w:val="00034616"/>
    <w:rsid w:val="000436E2"/>
    <w:rsid w:val="0006063C"/>
    <w:rsid w:val="0015074B"/>
    <w:rsid w:val="0029639D"/>
    <w:rsid w:val="00326F90"/>
    <w:rsid w:val="0038630C"/>
    <w:rsid w:val="00693081"/>
    <w:rsid w:val="00813C4D"/>
    <w:rsid w:val="00AA1D8D"/>
    <w:rsid w:val="00B47730"/>
    <w:rsid w:val="00CB0664"/>
    <w:rsid w:val="00DA6AE2"/>
    <w:rsid w:val="00F73E22"/>
    <w:rsid w:val="00FC693F"/>
    <w:rsid w:val="090B0B79"/>
    <w:rsid w:val="097B4750"/>
    <w:rsid w:val="54D63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33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Balloon Text"/>
    <w:basedOn w:val="1"/>
    <w:link w:val="165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25">
    <w:name w:val="foot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30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5">
    <w:name w:val="Light Shading"/>
    <w:basedOn w:val="3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qFormat/>
    <w:uiPriority w:val="60"/>
    <w:pPr>
      <w:spacing w:after="0"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after="0"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页眉 字符"/>
    <w:basedOn w:val="133"/>
    <w:link w:val="26"/>
    <w:qFormat/>
    <w:uiPriority w:val="99"/>
  </w:style>
  <w:style w:type="character" w:customStyle="1" w:styleId="137">
    <w:name w:val="页脚 字符"/>
    <w:basedOn w:val="133"/>
    <w:link w:val="25"/>
    <w:qFormat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标题 1 字符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40">
    <w:name w:val="标题 2 字符"/>
    <w:basedOn w:val="13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1">
    <w:name w:val="标题 3 字符"/>
    <w:basedOn w:val="133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42">
    <w:name w:val="标题 字符"/>
    <w:basedOn w:val="133"/>
    <w:link w:val="32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3">
    <w:name w:val="副标题 字符"/>
    <w:basedOn w:val="133"/>
    <w:link w:val="2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正文文本 字符"/>
    <w:basedOn w:val="133"/>
    <w:link w:val="19"/>
    <w:qFormat/>
    <w:uiPriority w:val="99"/>
  </w:style>
  <w:style w:type="character" w:customStyle="1" w:styleId="146">
    <w:name w:val="正文文本 2 字符"/>
    <w:basedOn w:val="133"/>
    <w:link w:val="29"/>
    <w:qFormat/>
    <w:uiPriority w:val="99"/>
  </w:style>
  <w:style w:type="character" w:customStyle="1" w:styleId="147">
    <w:name w:val="正文文本 3 字符"/>
    <w:basedOn w:val="133"/>
    <w:link w:val="17"/>
    <w:qFormat/>
    <w:uiPriority w:val="99"/>
    <w:rPr>
      <w:sz w:val="16"/>
      <w:szCs w:val="16"/>
    </w:rPr>
  </w:style>
  <w:style w:type="character" w:customStyle="1" w:styleId="148">
    <w:name w:val="宏文本 字符"/>
    <w:basedOn w:val="133"/>
    <w:link w:val="2"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</w:rPr>
  </w:style>
  <w:style w:type="character" w:customStyle="1" w:styleId="150">
    <w:name w:val="引用 字符"/>
    <w:basedOn w:val="133"/>
    <w:link w:val="149"/>
    <w:qFormat/>
    <w:uiPriority w:val="29"/>
    <w:rPr>
      <w:i/>
      <w:iCs/>
      <w:color w:val="000000" w:themeColor="text1"/>
    </w:rPr>
  </w:style>
  <w:style w:type="character" w:customStyle="1" w:styleId="151">
    <w:name w:val="标题 4 字符"/>
    <w:basedOn w:val="133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2">
    <w:name w:val="标题 5 字符"/>
    <w:basedOn w:val="133"/>
    <w:link w:val="7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53">
    <w:name w:val="标题 6 字符"/>
    <w:basedOn w:val="133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54">
    <w:name w:val="标题 7 字符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55">
    <w:name w:val="标题 8 字符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56">
    <w:name w:val="标题 9 字符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58">
    <w:name w:val="明显引用 字符"/>
    <w:basedOn w:val="133"/>
    <w:link w:val="157"/>
    <w:uiPriority w:val="30"/>
    <w:rPr>
      <w:b/>
      <w:bCs/>
      <w:i/>
      <w:iCs/>
      <w:color w:val="4F81BD" w:themeColor="accent1"/>
    </w:rPr>
  </w:style>
  <w:style w:type="character" w:customStyle="1" w:styleId="159">
    <w:name w:val="Subtle Emphasis"/>
    <w:basedOn w:val="133"/>
    <w:qFormat/>
    <w:uiPriority w:val="19"/>
    <w:rPr>
      <w:i/>
      <w:iCs/>
      <w:color w:val="7F7F7F" w:themeColor="text1" w:themeTint="7F"/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165">
    <w:name w:val="批注框文本 字符"/>
    <w:basedOn w:val="133"/>
    <w:link w:val="24"/>
    <w:semiHidden/>
    <w:uiPriority w:val="99"/>
    <w:rPr>
      <w:rFonts w:ascii="微软雅黑" w:hAnsi="微软雅黑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5" Type="http://schemas.openxmlformats.org/officeDocument/2006/relationships/fontTable" Target="fontTable.xml"/><Relationship Id="rId44" Type="http://schemas.openxmlformats.org/officeDocument/2006/relationships/customXml" Target="../customXml/item2.xml"/><Relationship Id="rId43" Type="http://schemas.openxmlformats.org/officeDocument/2006/relationships/numbering" Target="numbering.xml"/><Relationship Id="rId42" Type="http://schemas.openxmlformats.org/officeDocument/2006/relationships/customXml" Target="../customXml/item1.xml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endnotes" Target="endnotes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D2BDF4-677E-4D3F-9C56-9335AAF4E4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645</Words>
  <Characters>3682</Characters>
  <Lines>30</Lines>
  <Paragraphs>8</Paragraphs>
  <TotalTime>0</TotalTime>
  <ScaleCrop>false</ScaleCrop>
  <LinksUpToDate>false</LinksUpToDate>
  <CharactersWithSpaces>4319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zhanghoufu</cp:lastModifiedBy>
  <dcterms:modified xsi:type="dcterms:W3CDTF">2021-11-15T07:19:56Z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2052-11.1.0.11045</vt:lpwstr>
  </property>
  <property fmtid="{D5CDD505-2E9C-101B-9397-08002B2CF9AE}" pid="7" name="ICV">
    <vt:lpwstr>DB860C16E5F041E880223C7F233E852D</vt:lpwstr>
  </property>
</Properties>
</file>