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0" w:line="240" w:lineRule="auto"/>
        <w:jc w:val="center"/>
        <w:textAlignment w:val="center"/>
        <w:rPr>
          <w:rFonts w:ascii="Times New Roman" w:hAnsi="宋体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2021届江苏省高三物理第二次适应性考试试题</w:t>
      </w:r>
    </w:p>
    <w:p>
      <w:pPr>
        <w:pStyle w:val="19"/>
        <w:spacing w:after="0" w:line="240" w:lineRule="auto"/>
        <w:jc w:val="center"/>
        <w:textAlignment w:val="center"/>
        <w:rPr>
          <w:rFonts w:hint="eastAsia" w:ascii="Times New Roman" w:hAnsi="宋体" w:eastAsia="宋体" w:cs="Times New Roman"/>
          <w:b/>
          <w:sz w:val="36"/>
          <w:szCs w:val="36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注意事项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考生在答题前请认真阅读本注意事项及各题答题要求</w:t>
      </w:r>
    </w:p>
    <w:p>
      <w:pPr>
        <w:pStyle w:val="19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1.本试卷共6页，满分为100分，考试时间为75分钟。考试结束后，请将本试卷和答题卡一并交回。</w:t>
      </w:r>
    </w:p>
    <w:p>
      <w:pPr>
        <w:pStyle w:val="19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2.答题前，请务必将自己的姓名、准考证号用0.5毫米黑色墨水的签字笔填写在试卷及答题卡的规定位置。</w:t>
      </w:r>
    </w:p>
    <w:p>
      <w:pPr>
        <w:pStyle w:val="19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3.请认真核对监考员在答题卡上所粘贴的条形码上的姓名、准考证号与本人是否相符。</w:t>
      </w:r>
    </w:p>
    <w:p>
      <w:pPr>
        <w:pStyle w:val="19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4.作答选择题，必须用2B铅笔将答题卡上对应选项的方框涂满、涂黑；如需改动，请用橡皮擦干净后，再选涂其他答案。作答非选择题，必须用0.5毫米黑色墨水的签字笔在答题卡上的指定位置作答，在其他位置作答一律无效。</w:t>
      </w:r>
    </w:p>
    <w:p>
      <w:pPr>
        <w:pStyle w:val="19"/>
        <w:spacing w:after="0" w:line="240" w:lineRule="auto"/>
        <w:textAlignment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5.如需作图，必须用2B铅笔绘、写清楚，线条、符号等须加黑、加粗。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一、单项选择题：共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题，每题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分．每题只有一个选项最符合题意．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双缝干涉实验中，用单色光照射双缝，光屏上出现明暗相间的条纹．若使相邻亮条纹之间的距离变小，可采用的办法是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减小单色光的波长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减小两缝之间的距离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增大单色光的强度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增大双缝到屏的距离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高速公路上的隧道设置限速以保证行驶安全，某汽车以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120km/h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的速度行驶，在离隧道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处开始减速，做匀变速直线运动，若以不超过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80km/h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的限速进入隧道，其加速度的大小至少约为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A)1.0m/s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B)1.2m/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C)1.6m/s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D)2.0m/s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玻璃中有一个球形气泡．一束平行光射入气泡，下列光路图中正确的是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0515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40640</wp:posOffset>
            </wp:positionV>
            <wp:extent cx="1457325" cy="1562100"/>
            <wp:effectExtent l="19050" t="0" r="9525" b="0"/>
            <wp:wrapTight wrapText="bothSides">
              <wp:wrapPolygon>
                <wp:start x="-282" y="0"/>
                <wp:lineTo x="-282" y="21337"/>
                <wp:lineTo x="21741" y="21337"/>
                <wp:lineTo x="21741" y="0"/>
                <wp:lineTo x="-282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氢原子的能级图如图所示，大量处于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n=4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的氢原子跃迁发出的光照射在金属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Ag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的表面上．已知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Ag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的逸出功为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4.73 eV,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则产生的光电子的初动能最大为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A)7.36 eV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B)8.02 eV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C)10.20 eV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D)12.75 eV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居里夫人一份约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年前的手稿被保存在法国国立图书馆，记载了放射性元素钋和镭的发现．手稿中残留有镭至今仍具有放射性，因此存放在铅盒里．已知镭的半衰期是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年．如图所示表示镭含量的直方图中，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今年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表示今年手稿上镭的含量，则可以表示当年手稿上镭含量的是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178685" cy="15240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4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B)</w:t>
      </w: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C)</w:t>
      </w:r>
      <w:r>
        <w:rPr>
          <w:rFonts w:ascii="宋体" w:hAnsi="宋体" w:eastAsia="宋体" w:cs="Times New Roman"/>
          <w:sz w:val="21"/>
          <w:szCs w:val="21"/>
        </w:rPr>
        <w:t>③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D)</w:t>
      </w:r>
      <w:r>
        <w:rPr>
          <w:rFonts w:ascii="宋体" w:hAnsi="宋体" w:eastAsia="宋体" w:cs="Times New Roman"/>
          <w:sz w:val="21"/>
          <w:szCs w:val="21"/>
        </w:rPr>
        <w:t>④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小芳设计了一个电吹风，其电路图如图所示，变压器原、副线圈的匝数分别为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小风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扇的额定电压为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60 V.a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为四个固定触点，转动扇形金属触片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的位置可同时接触两个触点，使电吹风可处于关机、吹热风和吹冷风三种工作状态。在电吹风吹热风时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038475" cy="18478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触片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同时接触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:N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=11:3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B)</w:t>
      </w:r>
      <w:r>
        <w:rPr>
          <w:rFonts w:ascii="Times New Roman" w:hAnsi="宋体" w:eastAsia="宋体" w:cs="Times New Roman"/>
          <w:sz w:val="21"/>
          <w:szCs w:val="21"/>
        </w:rPr>
        <w:t>触片</w:t>
      </w:r>
      <w:r>
        <w:rPr>
          <w:rFonts w:ascii="Times New Roman" w:hAnsi="Times New Roman" w:eastAsia="宋体" w:cs="Times New Roman"/>
          <w:sz w:val="21"/>
          <w:szCs w:val="21"/>
        </w:rPr>
        <w:t>P</w:t>
      </w:r>
      <w:r>
        <w:rPr>
          <w:rFonts w:ascii="Times New Roman" w:hAnsi="宋体" w:eastAsia="宋体" w:cs="Times New Roman"/>
          <w:sz w:val="21"/>
          <w:szCs w:val="21"/>
        </w:rPr>
        <w:t>同时接触</w:t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b,N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:N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=3:11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C)</w:t>
      </w:r>
      <w:r>
        <w:rPr>
          <w:rFonts w:ascii="Times New Roman" w:hAnsi="宋体" w:eastAsia="宋体" w:cs="Times New Roman"/>
          <w:sz w:val="21"/>
          <w:szCs w:val="21"/>
        </w:rPr>
        <w:t>触片</w:t>
      </w:r>
      <w:r>
        <w:rPr>
          <w:rFonts w:ascii="Times New Roman" w:hAnsi="Times New Roman" w:eastAsia="宋体" w:cs="Times New Roman"/>
          <w:sz w:val="21"/>
          <w:szCs w:val="21"/>
        </w:rPr>
        <w:t>P</w:t>
      </w:r>
      <w:r>
        <w:rPr>
          <w:rFonts w:ascii="Times New Roman" w:hAnsi="宋体" w:eastAsia="宋体" w:cs="Times New Roman"/>
          <w:sz w:val="21"/>
          <w:szCs w:val="21"/>
        </w:rPr>
        <w:t>同时接触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c,N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:N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=11:3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触片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同时接触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c,N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:N2=3:11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某半导体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结中存在电场，取电场强度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轴正方向，其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E-x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关系如图所示，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ON=OP,OA=OB.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取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点的电势为零，则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428875" cy="16478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的电势相等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的过程中，电势一直增大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电子从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移到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的过程中，电势能先增大后减小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电子从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移到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移到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的过程中，电场力做功相等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两个质量相同的小圆环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用细线相连，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穿在光滑的水平直杆上．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从如图所示的位置由静止开始运动。在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摆到最低点的过程中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276475" cy="17430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的机械能守恒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组成的系统动量守恒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重力的功率一直减小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摆到最低点时，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的速度最大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如图所示，匀强磁场中有一等边三角形线框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匀质导体棒在线框上向右匀速运动，导体棒在线框接触点之间的感应电动势为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通过的电流为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忽略线框的电阻，且导体棒与线框接触良好，则导体棒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52675" cy="19526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从位置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增大、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增大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经过位置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最大、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从位置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减小、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从位置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都保持不变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如图所示，两相同物体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放在粗糙水平面上，通过一根倾斜的轻绳连接．若用恒力向左拉物体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两物体运动的加速度为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、绳中的张力为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若用大小相等的恒力向右拉物体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两物体运动的加速度为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、绳中的张力为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162300" cy="8667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A)a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&gt;F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 xml:space="preserve">                            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B)a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C)a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 xml:space="preserve">                              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D)a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&gt;a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&gt;F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分．其中第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题～第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题解答时请写出必要的文字说明、方程式和重要的演算步骤，只写出最后答案的不能得分；有数值计算时，答案中必须明确写出数值和单位。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11.(15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分）某同学测量一根长直电阻丝的电阻率，按图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所示的电路用等效替代方法测出一段电阻丝的电阻：导线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先按图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中的实线连接，后按图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中的虚线连接．在上述两种情形下，当电流计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77165" cy="1905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2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的示数为零时导线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中无电流流过，电压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1C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=U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p1B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+R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0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由此可测得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段的电阻为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o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.R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的阻值已知，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的长度通过固定在电阻丝旁的刻度尺读出．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733675" cy="244792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待测电阻丝的总电阻约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20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若有两种阻值的定值电阻：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10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30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应选用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中实线的电路，请用笔画线代替导线，将滑动变阻器连入图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所示的实物电路。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505200" cy="294322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按图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中实线连接好电路后，闭合开关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接下来的正确操作顺序是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将导线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连接在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位置在刻度尺上的读数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位置在刻度尺上的读数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调节滑动变阻器的触头，使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77165" cy="190500"/>
            <wp:effectExtent l="19050" t="0" r="0" b="0"/>
            <wp:docPr id="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2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的示数为零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⑤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改变导线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连接在电阻丝上的位置，使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77165" cy="190500"/>
            <wp:effectExtent l="19050" t="0" r="0" b="0"/>
            <wp:docPr id="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2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的示数为零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该同学多次更换定值电阻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重复上述实验．当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0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=15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的读数为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70.00cm,P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的读数为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20.00cm.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用螺旋测微器测得电阻丝的直径，并计算出电阻丝的横截面积为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0.500m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m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由此求得电阻丝的电阻率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·m.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小明同学认为与教材中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测量金属丝的电阻率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的实验方法相比，上述实验测得电阻的误差更小。你是否同意他的观点？请简要说明理由。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分）某汽车在开始行驶时，仪表显示其中一只轮胎的气体压强为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2.5x10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温度为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27 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已知轮胎容积为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3x10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且在行驶过程中保持不变。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当行驶一段时间后，该轮胎的气体压强增加到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2.7x10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求此时气体的温度；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在继续行驶的过程中气体的温度保持不变，由于漏气导致气体压强逐渐减小到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2.5x10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求漏气前后轮胎中气体质量的比值．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分）如图所示，篮球在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1.6m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的高度掷出，在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2.5m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的高度垂直击中篮板，反弹后恰好落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在掷出点的正下方．不计空气阻力，取重力加速度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g=10 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求该篮球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从击中篮板反弹后到落回地面的时间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pict>
          <v:shape id="_x0000_i1025" o:spt="75" type="#_x0000_t75" style="height:19.7pt;width:19.7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击中篮板前后的动能之比．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867150" cy="204724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14.(13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分）科学仪器常常利用磁场将带电粒子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约束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在一定区域内，使其不能射出．某同学为探究带电粒子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约束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问题，构想了如图所示的磁场区域：匀强磁场的磁感应强度大小为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、垂直于纸面，其边界分别是半径为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的同心圆，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为圆心，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为磁场内在圆弧上的一点，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的中点．若有一粒子源向纸面内的各个方向发射出比荷为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04775" cy="261620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6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的带负电粒子，粒子速度连续分布，且无相互作用．不计粒子的重力，取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sin37°=0.6,cos37°=0.8,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粒子源在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点时，被磁场约束的粒子速度的最大值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m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粒子源在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时，被磁场约束的粒子每次经过磁场时间的最大值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粒子源在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点时，被磁场约束的粒子速度的最大值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mP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886075" cy="2476500"/>
            <wp:effectExtent l="1905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15.(16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奋斗者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号成功下潜至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10909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米的深海处，让我国达到了全球深海装备和技术的制高点。某种型号潜水器的质量为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、体积为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在一次试验中从海面由静止开始竖直下潜，经过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点的速度最大，继续下潜后最终悬停在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点。此后潜水器向固定在舱外的油囊注油以增大体积，上浮后悬停在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点，此时油囊的体积增大了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23825" cy="306070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16" cy="30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若海水密度</w:t>
      </w:r>
      <w:r>
        <w:rPr>
          <w:rFonts w:hint="eastAsia"/>
        </w:rPr>
        <w:t>ρ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随深度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变化的关系为</w:t>
      </w:r>
      <w:r>
        <w:rPr>
          <w:rFonts w:hint="eastAsia"/>
        </w:rPr>
        <w:t>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=kh+</w:t>
      </w:r>
      <w:r>
        <w:rPr>
          <w:rFonts w:hint="eastAsia"/>
        </w:rPr>
        <w:t>ρ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0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hint="eastAsia"/>
        </w:rPr>
        <w:t>ρ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均为常数），潜水器所受阻力与速度成正比，运动过程中无其它动力，重力加速度为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求潜水器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点的深度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下潜到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过程中受到的最大阻力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从海面下潜直至悬停在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的过程中克服阻力做的功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W.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enter" w:pos="4153"/>
        <w:tab w:val="right" w:pos="8306"/>
        <w:tab w:val="clear" w:pos="4680"/>
        <w:tab w:val="clear" w:pos="9360"/>
      </w:tabs>
    </w:pPr>
    <w:r>
      <w:rPr>
        <w:rFonts w:hint="eastAsia"/>
      </w:rPr>
      <w:t>智浪教育—普惠英才文库</w:t>
    </w:r>
  </w:p>
  <w:p>
    <w:pPr>
      <w:pStyle w:val="2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B0122"/>
    <w:rsid w:val="002B7182"/>
    <w:rsid w:val="00326F90"/>
    <w:rsid w:val="004E3ED8"/>
    <w:rsid w:val="00767A56"/>
    <w:rsid w:val="00953D13"/>
    <w:rsid w:val="00A9438E"/>
    <w:rsid w:val="00AA1D8D"/>
    <w:rsid w:val="00B47730"/>
    <w:rsid w:val="00CB0664"/>
    <w:rsid w:val="00EE51B2"/>
    <w:rsid w:val="00FC693F"/>
    <w:rsid w:val="5FAD1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2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2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3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3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3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3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3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3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2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2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2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Body Text 2"/>
    <w:basedOn w:val="1"/>
    <w:link w:val="126"/>
    <w:unhideWhenUsed/>
    <w:uiPriority w:val="99"/>
    <w:pPr>
      <w:spacing w:after="120" w:line="480" w:lineRule="auto"/>
    </w:pPr>
  </w:style>
  <w:style w:type="paragraph" w:styleId="30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2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 Accent 2"/>
    <w:basedOn w:val="3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6">
    <w:name w:val="Light Shading Accent 3"/>
    <w:basedOn w:val="33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7">
    <w:name w:val="Light Shading Accent 4"/>
    <w:basedOn w:val="3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8">
    <w:name w:val="Light Shading Accent 5"/>
    <w:basedOn w:val="33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9">
    <w:name w:val="Light Shading Accent 6"/>
    <w:basedOn w:val="33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0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1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2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3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4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5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6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47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48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9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0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2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3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0">
    <w:name w:val="Medium List 1 Accent 2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61">
    <w:name w:val="Medium List 1 Accent 3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2">
    <w:name w:val="Medium List 1 Accent 4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3">
    <w:name w:val="Medium List 1 Accent 5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64">
    <w:name w:val="Medium List 1 Accent 6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65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6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7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8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9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72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73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74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75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76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77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8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9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2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3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84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85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86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87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88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89">
    <w:name w:val="Dark List Accent 1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90">
    <w:name w:val="Dark List Accent 2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91">
    <w:name w:val="Dark List Accent 3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2">
    <w:name w:val="Dark List Accent 4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93">
    <w:name w:val="Dark List Accent 5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94">
    <w:name w:val="Dark List Accent 6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95">
    <w:name w:val="Colorful Shading Accent 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6">
    <w:name w:val="Colorful Shading Accent 2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7">
    <w:name w:val="Colorful Shading Accent 3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8">
    <w:name w:val="Colorful Shading Accent 4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9">
    <w:name w:val="Colorful Shading Accent 5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0">
    <w:name w:val="Colorful Shading Accent 6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1">
    <w:name w:val="Colorful List Accent 1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02">
    <w:name w:val="Colorful List Accent 2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03">
    <w:name w:val="Colorful List Accent 3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04">
    <w:name w:val="Colorful List Accent 4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05">
    <w:name w:val="Colorful List Accent 5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06">
    <w:name w:val="Colorful List Accent 6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7">
    <w:name w:val="Colorful Grid Accent 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08">
    <w:name w:val="Colorful Grid Accent 2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09">
    <w:name w:val="Colorful Grid Accent 3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0">
    <w:name w:val="Colorful Grid Accent 4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11">
    <w:name w:val="Colorful Grid Accent 5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12">
    <w:name w:val="Colorful Grid Accent 6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14">
    <w:name w:val="Strong"/>
    <w:basedOn w:val="113"/>
    <w:qFormat/>
    <w:uiPriority w:val="22"/>
    <w:rPr>
      <w:b/>
      <w:bCs/>
    </w:rPr>
  </w:style>
  <w:style w:type="character" w:styleId="115">
    <w:name w:val="Emphasis"/>
    <w:basedOn w:val="113"/>
    <w:qFormat/>
    <w:uiPriority w:val="20"/>
    <w:rPr>
      <w:i/>
      <w:iCs/>
    </w:rPr>
  </w:style>
  <w:style w:type="character" w:customStyle="1" w:styleId="116">
    <w:name w:val="页眉 字符"/>
    <w:basedOn w:val="113"/>
    <w:link w:val="26"/>
    <w:uiPriority w:val="99"/>
  </w:style>
  <w:style w:type="character" w:customStyle="1" w:styleId="117">
    <w:name w:val="页脚 字符"/>
    <w:basedOn w:val="113"/>
    <w:link w:val="25"/>
    <w:uiPriority w:val="99"/>
  </w:style>
  <w:style w:type="paragraph" w:styleId="11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9">
    <w:name w:val="标题 1 字符"/>
    <w:basedOn w:val="113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0">
    <w:name w:val="标题 2 字符"/>
    <w:basedOn w:val="1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21">
    <w:name w:val="标题 3 字符"/>
    <w:basedOn w:val="11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22">
    <w:name w:val="标题 字符"/>
    <w:basedOn w:val="113"/>
    <w:link w:val="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3">
    <w:name w:val="副标题 字符"/>
    <w:basedOn w:val="113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24">
    <w:name w:val="List Paragraph"/>
    <w:basedOn w:val="1"/>
    <w:qFormat/>
    <w:uiPriority w:val="34"/>
    <w:pPr>
      <w:ind w:left="720"/>
      <w:contextualSpacing/>
    </w:pPr>
  </w:style>
  <w:style w:type="character" w:customStyle="1" w:styleId="125">
    <w:name w:val="正文文本 字符"/>
    <w:basedOn w:val="113"/>
    <w:link w:val="19"/>
    <w:uiPriority w:val="99"/>
  </w:style>
  <w:style w:type="character" w:customStyle="1" w:styleId="126">
    <w:name w:val="正文文本 2 字符"/>
    <w:basedOn w:val="113"/>
    <w:link w:val="29"/>
    <w:uiPriority w:val="99"/>
  </w:style>
  <w:style w:type="character" w:customStyle="1" w:styleId="127">
    <w:name w:val="正文文本 3 字符"/>
    <w:basedOn w:val="113"/>
    <w:link w:val="17"/>
    <w:uiPriority w:val="99"/>
    <w:rPr>
      <w:sz w:val="16"/>
      <w:szCs w:val="16"/>
    </w:rPr>
  </w:style>
  <w:style w:type="character" w:customStyle="1" w:styleId="128">
    <w:name w:val="宏文本 字符"/>
    <w:basedOn w:val="113"/>
    <w:link w:val="2"/>
    <w:uiPriority w:val="99"/>
    <w:rPr>
      <w:rFonts w:ascii="Courier" w:hAnsi="Courier"/>
      <w:sz w:val="20"/>
      <w:szCs w:val="20"/>
    </w:rPr>
  </w:style>
  <w:style w:type="paragraph" w:styleId="129">
    <w:name w:val="Quote"/>
    <w:basedOn w:val="1"/>
    <w:next w:val="1"/>
    <w:link w:val="130"/>
    <w:qFormat/>
    <w:uiPriority w:val="29"/>
    <w:rPr>
      <w:i/>
      <w:iCs/>
      <w:color w:val="000000" w:themeColor="text1"/>
    </w:rPr>
  </w:style>
  <w:style w:type="character" w:customStyle="1" w:styleId="130">
    <w:name w:val="引用 字符"/>
    <w:basedOn w:val="113"/>
    <w:link w:val="129"/>
    <w:uiPriority w:val="29"/>
    <w:rPr>
      <w:i/>
      <w:iCs/>
      <w:color w:val="000000" w:themeColor="text1"/>
    </w:rPr>
  </w:style>
  <w:style w:type="character" w:customStyle="1" w:styleId="131">
    <w:name w:val="标题 4 字符"/>
    <w:basedOn w:val="11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32">
    <w:name w:val="标题 5 字符"/>
    <w:basedOn w:val="113"/>
    <w:link w:val="7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33">
    <w:name w:val="标题 6 字符"/>
    <w:basedOn w:val="113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34">
    <w:name w:val="标题 7 字符"/>
    <w:basedOn w:val="11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35">
    <w:name w:val="标题 8 字符"/>
    <w:basedOn w:val="11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36">
    <w:name w:val="标题 9 字符"/>
    <w:basedOn w:val="11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37">
    <w:name w:val="Intense Quote"/>
    <w:basedOn w:val="1"/>
    <w:next w:val="1"/>
    <w:link w:val="13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38">
    <w:name w:val="明显引用 字符"/>
    <w:basedOn w:val="113"/>
    <w:link w:val="137"/>
    <w:uiPriority w:val="30"/>
    <w:rPr>
      <w:b/>
      <w:bCs/>
      <w:i/>
      <w:iCs/>
      <w:color w:val="4F81BD" w:themeColor="accent1"/>
    </w:rPr>
  </w:style>
  <w:style w:type="character" w:customStyle="1" w:styleId="139">
    <w:name w:val="Subtle Emphasis"/>
    <w:basedOn w:val="113"/>
    <w:qFormat/>
    <w:uiPriority w:val="19"/>
    <w:rPr>
      <w:i/>
      <w:iCs/>
      <w:color w:val="7F7F7F" w:themeColor="text1" w:themeTint="7F"/>
    </w:rPr>
  </w:style>
  <w:style w:type="character" w:customStyle="1" w:styleId="140">
    <w:name w:val="Intense Emphasis"/>
    <w:basedOn w:val="113"/>
    <w:qFormat/>
    <w:uiPriority w:val="21"/>
    <w:rPr>
      <w:b/>
      <w:bCs/>
      <w:i/>
      <w:iCs/>
      <w:color w:val="4F81BD" w:themeColor="accent1"/>
    </w:rPr>
  </w:style>
  <w:style w:type="character" w:customStyle="1" w:styleId="141">
    <w:name w:val="Subtle Reference"/>
    <w:basedOn w:val="113"/>
    <w:qFormat/>
    <w:uiPriority w:val="31"/>
    <w:rPr>
      <w:smallCaps/>
      <w:color w:val="C0504D" w:themeColor="accent2"/>
      <w:u w:val="single"/>
    </w:rPr>
  </w:style>
  <w:style w:type="character" w:customStyle="1" w:styleId="142">
    <w:name w:val="Intense Reference"/>
    <w:basedOn w:val="11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43">
    <w:name w:val="Book Title"/>
    <w:basedOn w:val="113"/>
    <w:qFormat/>
    <w:uiPriority w:val="33"/>
    <w:rPr>
      <w:b/>
      <w:bCs/>
      <w:smallCaps/>
      <w:spacing w:val="5"/>
    </w:rPr>
  </w:style>
  <w:style w:type="paragraph" w:customStyle="1" w:styleId="144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45">
    <w:name w:val="浅色底纹1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46">
    <w:name w:val="浅色底纹 - 着色 11"/>
    <w:basedOn w:val="33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47">
    <w:name w:val="浅色列表1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48">
    <w:name w:val="浅色列表 - 着色 1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49">
    <w:name w:val="浅色网格1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50">
    <w:name w:val="浅色网格 - 着色 1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51">
    <w:name w:val="中等深浅底纹 1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52">
    <w:name w:val="中等深浅底纹 1 - 着色 1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53">
    <w:name w:val="中等深浅底纹 2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54">
    <w:name w:val="中等深浅底纹 2 - 着色 1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55">
    <w:name w:val="中等深浅列表 1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156">
    <w:name w:val="中等深浅列表 1 - 着色 1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157">
    <w:name w:val="中等深浅列表 2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58">
    <w:name w:val="中等深浅网格 1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59">
    <w:name w:val="中等深浅网格 2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60">
    <w:name w:val="中等深浅网格 3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61">
    <w:name w:val="深色列表1"/>
    <w:basedOn w:val="33"/>
    <w:uiPriority w:val="70"/>
    <w:pPr>
      <w:spacing w:after="0" w:line="240" w:lineRule="auto"/>
    </w:pPr>
    <w:rPr>
      <w:color w:val="FFFFFF" w:themeColor="background1"/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62">
    <w:name w:val="彩色底纹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3">
    <w:name w:val="彩色列表1"/>
    <w:basedOn w:val="33"/>
    <w:uiPriority w:val="72"/>
    <w:pPr>
      <w:spacing w:after="0" w:line="240" w:lineRule="auto"/>
    </w:pPr>
    <w:rPr>
      <w:color w:val="000000" w:themeColor="text1"/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64">
    <w:name w:val="彩色网格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165">
    <w:name w:val="批注框文本 字符"/>
    <w:basedOn w:val="113"/>
    <w:link w:val="24"/>
    <w:semiHidden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4A5A4-05A7-4E16-A31E-DA987B6F9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536</Words>
  <Characters>3061</Characters>
  <Lines>25</Lines>
  <Paragraphs>7</Paragraphs>
  <TotalTime>0</TotalTime>
  <ScaleCrop>false</ScaleCrop>
  <LinksUpToDate>false</LinksUpToDate>
  <CharactersWithSpaces>3590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2021-04-15T06:51:00Z</dcterms:created>
  <dc:creator>python-docx</dc:creator>
  <dc:description>generated by python-docx</dc:description>
  <cp:lastModifiedBy>zhanghoufu</cp:lastModifiedBy>
  <dcterms:modified xsi:type="dcterms:W3CDTF">2021-05-26T06:11:53Z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E6D873EE84764ED19F2AA8F109AF8E01</vt:lpwstr>
  </property>
</Properties>
</file>