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457CD" w:rsidRPr="006A1F00">
      <w:pPr>
        <w:pStyle w:val="a0"/>
        <w:tabs>
          <w:tab w:val="left" w:pos="1621"/>
          <w:tab w:val="left" w:pos="2914"/>
          <w:tab w:val="left" w:pos="3997"/>
          <w:tab w:val="left" w:pos="5074"/>
        </w:tabs>
        <w:spacing w:line="510" w:lineRule="exact"/>
        <w:jc w:val="center"/>
        <w:rPr>
          <w:rFonts w:asciiTheme="minorEastAsia" w:eastAsiaTheme="minorEastAsia" w:hAnsiTheme="minorEastAsia"/>
          <w:b/>
          <w:color w:val="FF0000"/>
          <w:sz w:val="28"/>
          <w:szCs w:val="21"/>
        </w:rPr>
      </w:pPr>
      <w:r>
        <w:rPr>
          <w:rFonts w:asciiTheme="minorEastAsia" w:eastAsiaTheme="minorEastAsia" w:hAnsiTheme="minorEastAsia"/>
          <w:b/>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1pt;margin-top:813pt;margin-left:904pt;mso-position-horizontal-relative:page;mso-position-vertical-relative:top-margin-area;position:absolute;z-index:251658240">
            <v:imagedata r:id="rId6" o:title=""/>
          </v:shape>
        </w:pict>
      </w:r>
      <w:r w:rsidRPr="006A1F00" w:rsidR="00E13985">
        <w:rPr>
          <w:rFonts w:asciiTheme="minorEastAsia" w:eastAsiaTheme="minorEastAsia" w:hAnsiTheme="minorEastAsia"/>
          <w:b/>
          <w:color w:val="FF0000"/>
          <w:sz w:val="28"/>
          <w:szCs w:val="21"/>
        </w:rPr>
        <w:t>第二节　中国环境管理政策体系</w:t>
      </w:r>
    </w:p>
    <w:p w:rsidR="003457CD" w:rsidRPr="006A1F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国家环保总局环监局与美国环保协会联合提出:大气污染罚款上限可设定12万元/日;水污染不低于2 600元/日。据此完成第1~2题。</w:t>
      </w:r>
    </w:p>
    <w:p w:rsidR="003457CD" w:rsidRPr="006A1F00" w:rsidP="00AA776A">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w:t>
      </w:r>
      <w:r w:rsidRPr="006A1F00">
        <w:rPr>
          <w:rFonts w:asciiTheme="minorEastAsia" w:eastAsiaTheme="minorEastAsia" w:hAnsiTheme="minorEastAsia"/>
          <w:sz w:val="21"/>
          <w:szCs w:val="21"/>
          <w:lang w:eastAsia="zh-CN"/>
        </w:rPr>
        <w:t>.这两条规定依据的环境管理政策是(　　)</w:t>
      </w:r>
      <w:bookmarkStart w:id="0" w:name="_GoBack"/>
      <w:bookmarkEnd w:id="0"/>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A.以防为主,防治结合</w:t>
      </w:r>
      <w:r w:rsidRPr="006A1F00">
        <w:rPr>
          <w:rFonts w:asciiTheme="minorEastAsia" w:eastAsiaTheme="minorEastAsia" w:hAnsiTheme="minorEastAsia"/>
          <w:sz w:val="21"/>
          <w:szCs w:val="21"/>
          <w:lang w:eastAsia="zh-CN"/>
        </w:rPr>
        <w:tab/>
        <w:t>B.谁污染,谁治理</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C.强化环境管理</w:t>
      </w:r>
      <w:r w:rsidRPr="006A1F00">
        <w:rPr>
          <w:rFonts w:asciiTheme="minorEastAsia" w:eastAsiaTheme="minorEastAsia" w:hAnsiTheme="minorEastAsia"/>
          <w:sz w:val="21"/>
          <w:szCs w:val="21"/>
          <w:lang w:eastAsia="zh-CN"/>
        </w:rPr>
        <w:tab/>
        <w:t>D.环境保护</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2</w:t>
      </w:r>
      <w:r w:rsidRPr="006A1F00">
        <w:rPr>
          <w:rFonts w:asciiTheme="minorEastAsia" w:eastAsiaTheme="minorEastAsia" w:hAnsiTheme="minorEastAsia"/>
          <w:sz w:val="21"/>
          <w:szCs w:val="21"/>
          <w:lang w:eastAsia="zh-CN"/>
        </w:rPr>
        <w:t>.对造成大气污染和水污染的企业罚款,是因为这些企业利用了</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资源(　　)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A.水</w:t>
      </w:r>
      <w:r w:rsidRPr="006A1F00">
        <w:rPr>
          <w:rFonts w:asciiTheme="minorEastAsia" w:eastAsiaTheme="minorEastAsia" w:hAnsiTheme="minorEastAsia"/>
          <w:sz w:val="21"/>
          <w:szCs w:val="21"/>
          <w:lang w:eastAsia="zh-CN"/>
        </w:rPr>
        <w:tab/>
        <w:t>B.大气</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C.环境容量</w:t>
      </w:r>
      <w:r w:rsidRPr="006A1F00">
        <w:rPr>
          <w:rFonts w:asciiTheme="minorEastAsia" w:eastAsiaTheme="minorEastAsia" w:hAnsiTheme="minorEastAsia"/>
          <w:sz w:val="21"/>
          <w:szCs w:val="21"/>
          <w:lang w:eastAsia="zh-CN"/>
        </w:rPr>
        <w:tab/>
        <w:t>D.土壤</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第1题,对污染企业罚款依据的是“征收排污费制度”,贯彻的是“谁污染,谁治理”的环境管理政策。第2题,环境不仅为人类提供生产、生活的空间,还提供资源和消纳废弃物的场所,环境容量也是一种资源。</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1.B　2.C</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《中华人民共和国环境影响评价法》由中华人民共和国第九届全国人民代表大会常务委员第三十次会议于2002年10月28日通过,自2003年9月1日起施行。据此完成第3~4题。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3</w:t>
      </w:r>
      <w:r w:rsidRPr="006A1F00">
        <w:rPr>
          <w:rFonts w:asciiTheme="minorEastAsia" w:eastAsiaTheme="minorEastAsia" w:hAnsiTheme="minorEastAsia"/>
          <w:sz w:val="21"/>
          <w:szCs w:val="21"/>
          <w:lang w:eastAsia="zh-CN"/>
        </w:rPr>
        <w:t>.按照《环境影响评价法》的规定,环境影响评价的范围包括(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①重大工程建设　②区域开发　③可能对环境造成影响的人类活动　④防止不利于环境事件的发生</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A.②③④</w:t>
      </w:r>
      <w:r w:rsidRPr="006A1F00">
        <w:rPr>
          <w:rFonts w:asciiTheme="minorEastAsia" w:eastAsiaTheme="minorEastAsia" w:hAnsiTheme="minorEastAsia"/>
          <w:sz w:val="21"/>
          <w:szCs w:val="21"/>
        </w:rPr>
        <w:tab/>
        <w:t>B.①③④</w:t>
      </w:r>
      <w:r w:rsidRPr="006A1F00">
        <w:rPr>
          <w:rFonts w:asciiTheme="minorEastAsia" w:eastAsiaTheme="minorEastAsia" w:hAnsiTheme="minorEastAsia"/>
          <w:sz w:val="21"/>
          <w:szCs w:val="21"/>
        </w:rPr>
        <w:tab/>
        <w:t>C.①②④</w:t>
      </w:r>
      <w:r w:rsidRPr="006A1F00">
        <w:rPr>
          <w:rFonts w:asciiTheme="minorEastAsia" w:eastAsiaTheme="minorEastAsia" w:hAnsiTheme="minorEastAsia"/>
          <w:sz w:val="21"/>
          <w:szCs w:val="21"/>
        </w:rPr>
        <w:tab/>
        <w:t>D.①②③</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4</w:t>
      </w:r>
      <w:r w:rsidRPr="006A1F00">
        <w:rPr>
          <w:rFonts w:asciiTheme="minorEastAsia" w:eastAsiaTheme="minorEastAsia" w:hAnsiTheme="minorEastAsia"/>
          <w:sz w:val="21"/>
          <w:szCs w:val="21"/>
          <w:lang w:eastAsia="zh-CN"/>
        </w:rPr>
        <w:t>.环境影响评价制度的建立,体现了环境管理中的</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政策(　　)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A.预防为主</w:t>
      </w:r>
      <w:r w:rsidRPr="006A1F00">
        <w:rPr>
          <w:rFonts w:asciiTheme="minorEastAsia" w:eastAsiaTheme="minorEastAsia" w:hAnsiTheme="minorEastAsia"/>
          <w:sz w:val="21"/>
          <w:szCs w:val="21"/>
          <w:lang w:eastAsia="zh-CN"/>
        </w:rPr>
        <w:tab/>
        <w:t>B.三同步</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C.强化环境管理</w:t>
      </w:r>
      <w:r w:rsidRPr="006A1F00">
        <w:rPr>
          <w:rFonts w:asciiTheme="minorEastAsia" w:eastAsiaTheme="minorEastAsia" w:hAnsiTheme="minorEastAsia"/>
          <w:sz w:val="21"/>
          <w:szCs w:val="21"/>
          <w:lang w:eastAsia="zh-CN"/>
        </w:rPr>
        <w:tab/>
        <w:t>D.三统一</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3题,防止不利于环境事件的发生属于建立环境影响评价制度的目的,不是其评价的范围。第4题,环境影响评价制度是对可能对环境造成影响的人类活动事先作出预测和评估,论证工程建设项目能否立项建设,体现了“预防为主”的政策。</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3.D　4.A</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2013年7月6日,广西贺州市发生水体镉、铊等重金属污染事件。事件发生后,当地政府表示:“将组织对所有可能影响饮用水安全的化工企业进行全面排查整治,实行最严厉的措施,确保饮用水源安全。”据此完成第5~6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5</w:t>
      </w:r>
      <w:r w:rsidRPr="006A1F00">
        <w:rPr>
          <w:rFonts w:asciiTheme="minorEastAsia" w:eastAsiaTheme="minorEastAsia" w:hAnsiTheme="minorEastAsia"/>
          <w:sz w:val="21"/>
          <w:szCs w:val="21"/>
          <w:lang w:eastAsia="zh-CN"/>
        </w:rPr>
        <w:t>.在对污染企业惩罚的措施中,“罚款”依据的环境管理制度是(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A.征收排污费制度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B.污染限期治理制度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C.“三同时”制度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D.环境保护目标责任制</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6</w:t>
      </w:r>
      <w:r w:rsidRPr="006A1F00">
        <w:rPr>
          <w:rFonts w:asciiTheme="minorEastAsia" w:eastAsiaTheme="minorEastAsia" w:hAnsiTheme="minorEastAsia"/>
          <w:sz w:val="21"/>
          <w:szCs w:val="21"/>
          <w:lang w:eastAsia="zh-CN"/>
        </w:rPr>
        <w:t>.事件发生后,贺州市政府贯彻的环境管理政策是(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①预防为主,防治结合　②谁污染,谁治理　③强化环境管理　④考核决策者的政绩</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A.①②</w:t>
      </w:r>
      <w:r w:rsidRPr="006A1F00">
        <w:rPr>
          <w:rFonts w:asciiTheme="minorEastAsia" w:eastAsiaTheme="minorEastAsia" w:hAnsiTheme="minorEastAsia"/>
          <w:sz w:val="21"/>
          <w:szCs w:val="21"/>
        </w:rPr>
        <w:tab/>
        <w:t>B.③④</w:t>
      </w:r>
      <w:r w:rsidRPr="006A1F00">
        <w:rPr>
          <w:rFonts w:asciiTheme="minorEastAsia" w:eastAsiaTheme="minorEastAsia" w:hAnsiTheme="minorEastAsia"/>
          <w:sz w:val="21"/>
          <w:szCs w:val="21"/>
        </w:rPr>
        <w:tab/>
        <w:t>C.①③</w:t>
      </w:r>
      <w:r w:rsidRPr="006A1F00">
        <w:rPr>
          <w:rFonts w:asciiTheme="minorEastAsia" w:eastAsiaTheme="minorEastAsia" w:hAnsiTheme="minorEastAsia"/>
          <w:sz w:val="21"/>
          <w:szCs w:val="21"/>
        </w:rPr>
        <w:tab/>
        <w:t>D.②④</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第5题,“罚款”是对污染企业浪费环境资源的一种惩罚措施,依据的是征收排污费制度。第6题,“排查”是“防”,“实行最严厉的措施”贯彻的是“强化环境管理”政策。</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5.A　6.C</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排污交易权的主要思想是建立合法的污染物排放权利,即排污权(这种权利通常以排污许可证的形式表现),并允许这种权利像商品那样被买入和卖出,以此来进行污染物的排放控制。结合所学知识,完成第7~9题。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7</w:t>
      </w:r>
      <w:r w:rsidRPr="006A1F00">
        <w:rPr>
          <w:rFonts w:asciiTheme="minorEastAsia" w:eastAsiaTheme="minorEastAsia" w:hAnsiTheme="minorEastAsia"/>
          <w:sz w:val="21"/>
          <w:szCs w:val="21"/>
          <w:lang w:eastAsia="zh-CN"/>
        </w:rPr>
        <w:t>.“排污交易”依据的是</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制度(　　)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A.征收排污费</w:t>
      </w:r>
      <w:r w:rsidRPr="006A1F00">
        <w:rPr>
          <w:rFonts w:asciiTheme="minorEastAsia" w:eastAsiaTheme="minorEastAsia" w:hAnsiTheme="minorEastAsia"/>
          <w:sz w:val="21"/>
          <w:szCs w:val="21"/>
          <w:lang w:eastAsia="zh-CN"/>
        </w:rPr>
        <w:tab/>
        <w:t>B.污染源限期治理</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C.三同时</w:t>
      </w:r>
      <w:r w:rsidRPr="006A1F00">
        <w:rPr>
          <w:rFonts w:asciiTheme="minorEastAsia" w:eastAsiaTheme="minorEastAsia" w:hAnsiTheme="minorEastAsia"/>
          <w:sz w:val="21"/>
          <w:szCs w:val="21"/>
          <w:lang w:eastAsia="zh-CN"/>
        </w:rPr>
        <w:tab/>
        <w:t>D.环境影响评价</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8</w:t>
      </w:r>
      <w:r w:rsidRPr="006A1F00">
        <w:rPr>
          <w:rFonts w:asciiTheme="minorEastAsia" w:eastAsiaTheme="minorEastAsia" w:hAnsiTheme="minorEastAsia"/>
          <w:sz w:val="21"/>
          <w:szCs w:val="21"/>
          <w:lang w:eastAsia="zh-CN"/>
        </w:rPr>
        <w:t>.“排污交易”对</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类企业有利(　　)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A.造纸</w:t>
      </w:r>
      <w:r w:rsidRPr="006A1F00">
        <w:rPr>
          <w:rFonts w:asciiTheme="minorEastAsia" w:eastAsiaTheme="minorEastAsia" w:hAnsiTheme="minorEastAsia"/>
          <w:sz w:val="21"/>
          <w:szCs w:val="21"/>
          <w:lang w:eastAsia="zh-CN"/>
        </w:rPr>
        <w:tab/>
        <w:t>B.钢铁</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C.有色冶金</w:t>
      </w:r>
      <w:r w:rsidRPr="006A1F00">
        <w:rPr>
          <w:rFonts w:asciiTheme="minorEastAsia" w:eastAsiaTheme="minorEastAsia" w:hAnsiTheme="minorEastAsia"/>
          <w:sz w:val="21"/>
          <w:szCs w:val="21"/>
          <w:lang w:eastAsia="zh-CN"/>
        </w:rPr>
        <w:tab/>
        <w:t>D.微电子</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9</w:t>
      </w:r>
      <w:r w:rsidRPr="006A1F00">
        <w:rPr>
          <w:rFonts w:asciiTheme="minorEastAsia" w:eastAsiaTheme="minorEastAsia" w:hAnsiTheme="minorEastAsia"/>
          <w:sz w:val="21"/>
          <w:szCs w:val="21"/>
          <w:lang w:eastAsia="zh-CN"/>
        </w:rPr>
        <w:t>.“排污交易”是环境管理中的</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手段(　　)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A.法律</w:t>
      </w:r>
      <w:r w:rsidRPr="006A1F00">
        <w:rPr>
          <w:rFonts w:asciiTheme="minorEastAsia" w:eastAsiaTheme="minorEastAsia" w:hAnsiTheme="minorEastAsia"/>
          <w:sz w:val="21"/>
          <w:szCs w:val="21"/>
          <w:lang w:eastAsia="zh-CN"/>
        </w:rPr>
        <w:tab/>
        <w:t>B.教育</w:t>
      </w:r>
      <w:r w:rsidRPr="006A1F00">
        <w:rPr>
          <w:rFonts w:asciiTheme="minorEastAsia" w:eastAsiaTheme="minorEastAsia" w:hAnsiTheme="minorEastAsia"/>
          <w:sz w:val="21"/>
          <w:szCs w:val="21"/>
          <w:lang w:eastAsia="zh-CN"/>
        </w:rPr>
        <w:tab/>
        <w:t>C.经济</w:t>
      </w:r>
      <w:r w:rsidRPr="006A1F00">
        <w:rPr>
          <w:rFonts w:asciiTheme="minorEastAsia" w:eastAsiaTheme="minorEastAsia" w:hAnsiTheme="minorEastAsia"/>
          <w:sz w:val="21"/>
          <w:szCs w:val="21"/>
          <w:lang w:eastAsia="zh-CN"/>
        </w:rPr>
        <w:tab/>
        <w:t>D.行政</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第7题,“排污交易”交易的排污权,增加了污染企业的生产成本,类似于征收污染费。第8题,微电子属于污染较少或没有污染的企业。第9题,“排污交易”是通过排污权的“买入和卖出”实现的,属于经济手段。</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7.A　8.D　9.C</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污染限期治理制度是指对指定区域的重点环境问题采取的强制性措施。据此完成第10~11题。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10</w:t>
      </w:r>
      <w:r w:rsidRPr="006A1F00">
        <w:rPr>
          <w:rFonts w:asciiTheme="minorEastAsia" w:eastAsiaTheme="minorEastAsia" w:hAnsiTheme="minorEastAsia"/>
          <w:sz w:val="21"/>
          <w:szCs w:val="21"/>
          <w:lang w:eastAsia="zh-CN"/>
        </w:rPr>
        <w:t>.污染限期治理制度的治理要求是限定(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①治理时间　②治理内容　③治理效果　④治理措施</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A.①②④</w:t>
      </w:r>
      <w:r w:rsidRPr="006A1F00">
        <w:rPr>
          <w:rFonts w:asciiTheme="minorEastAsia" w:eastAsiaTheme="minorEastAsia" w:hAnsiTheme="minorEastAsia"/>
          <w:sz w:val="21"/>
          <w:szCs w:val="21"/>
        </w:rPr>
        <w:tab/>
        <w:t>B.②③④</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C.①③④</w:t>
      </w:r>
      <w:r w:rsidRPr="006A1F00">
        <w:rPr>
          <w:rFonts w:asciiTheme="minorEastAsia" w:eastAsiaTheme="minorEastAsia" w:hAnsiTheme="minorEastAsia"/>
          <w:sz w:val="21"/>
          <w:szCs w:val="21"/>
        </w:rPr>
        <w:tab/>
        <w:t>D.①②③</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11</w:t>
      </w:r>
      <w:r w:rsidRPr="006A1F00">
        <w:rPr>
          <w:rFonts w:asciiTheme="minorEastAsia" w:eastAsiaTheme="minorEastAsia" w:hAnsiTheme="minorEastAsia"/>
          <w:sz w:val="21"/>
          <w:szCs w:val="21"/>
          <w:lang w:eastAsia="zh-CN"/>
        </w:rPr>
        <w:t>.污染限期治理制度的治理类型有(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①区域或流域的限期治理　②行业的限期治理　③点源的限期治理　④目标的限期治理</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A.①②④</w:t>
      </w:r>
      <w:r w:rsidRPr="006A1F00">
        <w:rPr>
          <w:rFonts w:asciiTheme="minorEastAsia" w:eastAsiaTheme="minorEastAsia" w:hAnsiTheme="minorEastAsia"/>
          <w:sz w:val="21"/>
          <w:szCs w:val="21"/>
        </w:rPr>
        <w:tab/>
        <w:t>B.②③④</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C.①③④</w:t>
      </w:r>
      <w:r w:rsidRPr="006A1F00">
        <w:rPr>
          <w:rFonts w:asciiTheme="minorEastAsia" w:eastAsiaTheme="minorEastAsia" w:hAnsiTheme="minorEastAsia"/>
          <w:sz w:val="21"/>
          <w:szCs w:val="21"/>
        </w:rPr>
        <w:tab/>
        <w:t>D.①②③</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本组题考查了我国“谁污染,谁治理”的环境管理政策。解题关键是要了解污染限期治理制度的治理要求、治理类型。污染限期治理制度的治理要求是限定治理时间、治理内容和治理效果,治理类型包括区域或流域的限期治理、行业的限期治理、点源的限期治理三类。</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10.D　11.D</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2013年2月21日,宁夏回族自治区平罗县人民政府决定对平罗县凯迪化工有限公司等6家企业下达2013年污染源限期治理任务。各限期治理企业必须按时完成治理任务,逾期未完成治理任务的企业,县人民政府将按照有关法律法规对其实施停产治理,直至关闭。据此完成第12~13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12</w:t>
      </w:r>
      <w:r w:rsidRPr="006A1F00">
        <w:rPr>
          <w:rFonts w:asciiTheme="minorEastAsia" w:eastAsiaTheme="minorEastAsia" w:hAnsiTheme="minorEastAsia"/>
          <w:sz w:val="21"/>
          <w:szCs w:val="21"/>
          <w:lang w:eastAsia="zh-CN"/>
        </w:rPr>
        <w:t>.“限期治理”依据的是(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A.“三同时”制度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B.排污收费制度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C.污染限期治理制度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D.环境保护目标责任制</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13</w:t>
      </w:r>
      <w:r w:rsidRPr="006A1F00">
        <w:rPr>
          <w:rFonts w:asciiTheme="minorEastAsia" w:eastAsiaTheme="minorEastAsia" w:hAnsiTheme="minorEastAsia"/>
          <w:sz w:val="21"/>
          <w:szCs w:val="21"/>
          <w:lang w:eastAsia="zh-CN"/>
        </w:rPr>
        <w:t>.宁夏对企业“限期治理”属于</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的限期治理(　　)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①区域　②流域　③行业　④点源</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A.①②</w:t>
      </w:r>
      <w:r w:rsidRPr="006A1F00">
        <w:rPr>
          <w:rFonts w:asciiTheme="minorEastAsia" w:eastAsiaTheme="minorEastAsia" w:hAnsiTheme="minorEastAsia"/>
          <w:sz w:val="21"/>
          <w:szCs w:val="21"/>
        </w:rPr>
        <w:tab/>
        <w:t>B.③④</w:t>
      </w:r>
      <w:r w:rsidRPr="006A1F00">
        <w:rPr>
          <w:rFonts w:asciiTheme="minorEastAsia" w:eastAsiaTheme="minorEastAsia" w:hAnsiTheme="minorEastAsia"/>
          <w:sz w:val="21"/>
          <w:szCs w:val="21"/>
        </w:rPr>
        <w:tab/>
        <w:t>C.①③</w:t>
      </w:r>
      <w:r w:rsidRPr="006A1F00">
        <w:rPr>
          <w:rFonts w:asciiTheme="minorEastAsia" w:eastAsiaTheme="minorEastAsia" w:hAnsiTheme="minorEastAsia"/>
          <w:sz w:val="21"/>
          <w:szCs w:val="21"/>
        </w:rPr>
        <w:tab/>
        <w:t>D.②④</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限期治理依据的是污染限期治理制度。对企业排污限期治理既属于行业限期治理,又属于点源的限期治理。</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12.C　13.B</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读下面一则通知,完成第14~15题。</w:t>
      </w:r>
    </w:p>
    <w:p w:rsidR="003457CD" w:rsidRPr="006A1F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各县(市)区人民政府,市政府有关委办局:经市政府同意,现将《××市环境保护目标责任制考核办法(2013~2014年)》印发给你们,请认真按照执行。</w:t>
      </w:r>
    </w:p>
    <w:p w:rsidR="003457CD" w:rsidRPr="006A1F00">
      <w:pPr>
        <w:tabs>
          <w:tab w:val="left" w:pos="1621"/>
          <w:tab w:val="left" w:pos="2914"/>
          <w:tab w:val="left" w:pos="3997"/>
          <w:tab w:val="left" w:pos="5074"/>
        </w:tabs>
        <w:ind w:firstLine="420" w:firstLineChars="200"/>
        <w:jc w:val="right"/>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2013年×月×日</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14</w:t>
      </w:r>
      <w:r w:rsidRPr="006A1F00">
        <w:rPr>
          <w:rFonts w:asciiTheme="minorEastAsia" w:eastAsiaTheme="minorEastAsia" w:hAnsiTheme="minorEastAsia"/>
          <w:sz w:val="21"/>
          <w:szCs w:val="21"/>
          <w:lang w:eastAsia="zh-CN"/>
        </w:rPr>
        <w:t>.该通知贯彻的环境管理制度是(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A.预防为主</w:t>
      </w:r>
      <w:r w:rsidRPr="006A1F00">
        <w:rPr>
          <w:rFonts w:asciiTheme="minorEastAsia" w:eastAsiaTheme="minorEastAsia" w:hAnsiTheme="minorEastAsia"/>
          <w:sz w:val="21"/>
          <w:szCs w:val="21"/>
          <w:lang w:eastAsia="zh-CN"/>
        </w:rPr>
        <w:tab/>
        <w:t>B.谁污染,谁治理</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C.强化环境管理</w:t>
      </w:r>
      <w:r w:rsidRPr="006A1F00">
        <w:rPr>
          <w:rFonts w:asciiTheme="minorEastAsia" w:eastAsiaTheme="minorEastAsia" w:hAnsiTheme="minorEastAsia"/>
          <w:sz w:val="21"/>
          <w:szCs w:val="21"/>
          <w:lang w:eastAsia="zh-CN"/>
        </w:rPr>
        <w:tab/>
        <w:t>D.环境影响评价</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15</w:t>
      </w:r>
      <w:r w:rsidRPr="006A1F00">
        <w:rPr>
          <w:rFonts w:asciiTheme="minorEastAsia" w:eastAsiaTheme="minorEastAsia" w:hAnsiTheme="minorEastAsia"/>
          <w:sz w:val="21"/>
          <w:szCs w:val="21"/>
          <w:lang w:eastAsia="zh-CN"/>
        </w:rPr>
        <w:t>.该市制定这个考核办法的目的是(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①将环境保护纳入政府任期目标中　②改善城市环境质量　③将环境保护作为地方政府和决策者的政绩考核内容　④使环保工作纳入政府议事日程</w:t>
      </w:r>
    </w:p>
    <w:p w:rsidR="003457CD" w:rsidRPr="006A1F00">
      <w:pPr>
        <w:tabs>
          <w:tab w:val="left" w:pos="1621"/>
          <w:tab w:val="left" w:pos="2914"/>
          <w:tab w:val="left" w:pos="3997"/>
          <w:tab w:val="left" w:pos="5074"/>
        </w:tabs>
        <w:rPr>
          <w:rFonts w:asciiTheme="minorEastAsia" w:eastAsiaTheme="minorEastAsia" w:hAnsiTheme="minorEastAsia"/>
          <w:sz w:val="21"/>
          <w:szCs w:val="21"/>
        </w:rPr>
      </w:pPr>
      <w:r w:rsidRPr="006A1F00">
        <w:rPr>
          <w:rFonts w:asciiTheme="minorEastAsia" w:eastAsiaTheme="minorEastAsia" w:hAnsiTheme="minorEastAsia"/>
          <w:sz w:val="21"/>
          <w:szCs w:val="21"/>
        </w:rPr>
        <w:t>A.①②</w:t>
      </w:r>
      <w:r w:rsidRPr="006A1F00">
        <w:rPr>
          <w:rFonts w:asciiTheme="minorEastAsia" w:eastAsiaTheme="minorEastAsia" w:hAnsiTheme="minorEastAsia"/>
          <w:sz w:val="21"/>
          <w:szCs w:val="21"/>
        </w:rPr>
        <w:tab/>
        <w:t>B.②③</w:t>
      </w:r>
      <w:r w:rsidRPr="006A1F00">
        <w:rPr>
          <w:rFonts w:asciiTheme="minorEastAsia" w:eastAsiaTheme="minorEastAsia" w:hAnsiTheme="minorEastAsia"/>
          <w:sz w:val="21"/>
          <w:szCs w:val="21"/>
        </w:rPr>
        <w:tab/>
        <w:t>C.②④</w:t>
      </w:r>
      <w:r w:rsidRPr="006A1F00">
        <w:rPr>
          <w:rFonts w:asciiTheme="minorEastAsia" w:eastAsiaTheme="minorEastAsia" w:hAnsiTheme="minorEastAsia"/>
          <w:sz w:val="21"/>
          <w:szCs w:val="21"/>
        </w:rPr>
        <w:tab/>
        <w:t>D.①③</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第14题,通知中的“环境保护目标责任制”是关键词,说明它贯彻的是“强化环境管理”这一政策。第15题,该考核办法适用于全市的所有区域,并不仅限于城市环境;②和④是城市环境综合整治定量考核制度的目的。</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14.C　15.D</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16</w:t>
      </w:r>
      <w:r w:rsidRPr="006A1F00">
        <w:rPr>
          <w:rFonts w:asciiTheme="minorEastAsia" w:eastAsiaTheme="minorEastAsia" w:hAnsiTheme="minorEastAsia"/>
          <w:sz w:val="21"/>
          <w:szCs w:val="21"/>
          <w:lang w:eastAsia="zh-CN"/>
        </w:rPr>
        <w:t>.阅读下列材料,完成下列各题。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材料一:因纸价上升,利益的驱动使某镇小造纸厂纷纷上马,但因为污水治理设施不配套,造成了极大的环境污染,大量农业用地因受污染而减产,农民纷纷上诉,各小造纸厂最终被环保部门依法取缔。</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材料二:城市环境综合整治定量考核制度,是指通过实行定量考核,对政府在推行城市环境综合整治中的活动予以管理和调整的一项环境监督管理制度。城市环境综合整治自1984年起在我国得到广泛推行。</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(1)在工厂规划时,建设项目中的环境设施必须与主体工程同时</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、同时</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和同时</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(2)小造纸厂污水治理设施不配套,造成极大环境污染的事实违反了哪些环境管理政策?</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(3)城市环境综合整治定量考核贯彻的环境管理政策是</w:t>
      </w:r>
      <w:r w:rsidRPr="006A1F00">
        <w:rPr>
          <w:rFonts w:asciiTheme="minorEastAsia" w:eastAsiaTheme="minorEastAsia" w:hAnsiTheme="minorEastAsia"/>
          <w:color w:val="FF0000"/>
          <w:sz w:val="21"/>
          <w:szCs w:val="21"/>
          <w:u w:val="single" w:color="000000"/>
          <w:lang w:eastAsia="zh-CN"/>
        </w:rPr>
        <w:t>　　　　　　</w:t>
      </w:r>
      <w:r w:rsidRPr="006A1F00">
        <w:rPr>
          <w:rFonts w:asciiTheme="minorEastAsia" w:eastAsiaTheme="minorEastAsia" w:hAnsiTheme="minorEastAsia"/>
          <w:sz w:val="21"/>
          <w:szCs w:val="21"/>
          <w:lang w:eastAsia="zh-CN"/>
        </w:rPr>
        <w:t>。 </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(4)城市环境综合整治是怎样实现城市的可持续发展的?</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(1)题,“三同时”制度是指建设项目中的环境保护设施必须与主体工程同时设计、同时施工、同时投产使用的制度。第(2)题,小造纸厂没有采取措施积极治理环境污染,也没有承担环境治理的责任和费用,因此小造纸厂违反了“以防为主,防治结合”和“谁污染,谁治理”的环境管理政策。第(3)题,城市环境综合整治定量考核是上级行政部门对下级行政部门进行考核,贯彻了“强化环境管理”的政策。第(4)题,城市环境综合整治定量考核是依据“强化环境管理”的政策,把城市环境作为一个系统,通过科学、定量的指标体系,使环保工作纳入政府议事日程的一项制度。</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(1)设计　施工　投产使用</w:t>
      </w:r>
    </w:p>
    <w:p w:rsidR="003457CD" w:rsidRPr="006A1F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(2)违反了“以防为主,防治结合”和“谁污染,谁治理”的环境管理政策。</w:t>
      </w:r>
    </w:p>
    <w:p w:rsidR="003457CD" w:rsidRPr="006A1F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(3)强化环境管理</w:t>
      </w:r>
    </w:p>
    <w:p w:rsidR="003457CD" w:rsidRPr="006A1F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(4)把城市环境作为一个系统进行综合规划、综合治理、综合控制。</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b/>
          <w:sz w:val="21"/>
          <w:szCs w:val="21"/>
          <w:lang w:eastAsia="zh-CN"/>
        </w:rPr>
        <w:t>17</w:t>
      </w:r>
      <w:r w:rsidRPr="006A1F00">
        <w:rPr>
          <w:rFonts w:asciiTheme="minorEastAsia" w:eastAsiaTheme="minorEastAsia" w:hAnsiTheme="minorEastAsia"/>
          <w:sz w:val="21"/>
          <w:szCs w:val="21"/>
          <w:lang w:eastAsia="zh-CN"/>
        </w:rPr>
        <w:t>.(探究性学习)结合材料,完成下列各题。</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材料一:在发展经济的同时,我国不断加大对工业污染治理的投资力度,政府通过政策引导企业减少污染排放,避免走“先污染,后治理”的道路。</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材料二:中国工业污染治理投资来源构成表。</w:t>
      </w:r>
    </w:p>
    <w:tbl>
      <w:tblPr>
        <w:tblStyle w:val="TableGrid"/>
        <w:tblW w:w="710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947"/>
        <w:gridCol w:w="1539"/>
        <w:gridCol w:w="1687"/>
        <w:gridCol w:w="1539"/>
        <w:gridCol w:w="1391"/>
      </w:tblGrid>
      <w:tr w:rsidTr="006A1F00">
        <w:tblPrEx>
          <w:tblW w:w="710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trHeight w:val="832"/>
          <w:jc w:val="center"/>
        </w:trPr>
        <w:tc>
          <w:tcPr>
            <w:tcW w:w="94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年份</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投资总额</w:t>
            </w:r>
          </w:p>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(亿元)</w:t>
            </w:r>
          </w:p>
        </w:tc>
        <w:tc>
          <w:tcPr>
            <w:tcW w:w="168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国家预算</w:t>
            </w:r>
          </w:p>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内资金(%)</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企业自筹</w:t>
            </w:r>
          </w:p>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资金(%)</w:t>
            </w:r>
          </w:p>
        </w:tc>
        <w:tc>
          <w:tcPr>
            <w:tcW w:w="1391"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其他(%)</w:t>
            </w:r>
          </w:p>
        </w:tc>
      </w:tr>
      <w:tr w:rsidTr="006A1F00">
        <w:tblPrEx>
          <w:tblW w:w="7103" w:type="dxa"/>
          <w:jc w:val="center"/>
          <w:tblLayout w:type="fixed"/>
          <w:tblLook w:val="04A0"/>
        </w:tblPrEx>
        <w:trPr>
          <w:trHeight w:val="411"/>
          <w:jc w:val="center"/>
        </w:trPr>
        <w:tc>
          <w:tcPr>
            <w:tcW w:w="94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2001</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174.48</w:t>
            </w:r>
          </w:p>
        </w:tc>
        <w:tc>
          <w:tcPr>
            <w:tcW w:w="168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20.83</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4.29</w:t>
            </w:r>
          </w:p>
        </w:tc>
        <w:tc>
          <w:tcPr>
            <w:tcW w:w="1391"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74.88</w:t>
            </w:r>
          </w:p>
        </w:tc>
      </w:tr>
      <w:tr w:rsidTr="006A1F00">
        <w:tblPrEx>
          <w:tblW w:w="7103" w:type="dxa"/>
          <w:jc w:val="center"/>
          <w:tblLayout w:type="fixed"/>
          <w:tblLook w:val="04A0"/>
        </w:tblPrEx>
        <w:trPr>
          <w:trHeight w:val="420"/>
          <w:jc w:val="center"/>
        </w:trPr>
        <w:tc>
          <w:tcPr>
            <w:tcW w:w="94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2002</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188.37</w:t>
            </w:r>
          </w:p>
        </w:tc>
        <w:tc>
          <w:tcPr>
            <w:tcW w:w="168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22.28</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4.25</w:t>
            </w:r>
          </w:p>
        </w:tc>
        <w:tc>
          <w:tcPr>
            <w:tcW w:w="1391"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73.47</w:t>
            </w:r>
          </w:p>
        </w:tc>
      </w:tr>
      <w:tr w:rsidTr="006A1F00">
        <w:tblPrEx>
          <w:tblW w:w="7103" w:type="dxa"/>
          <w:jc w:val="center"/>
          <w:tblLayout w:type="fixed"/>
          <w:tblLook w:val="04A0"/>
        </w:tblPrEx>
        <w:trPr>
          <w:trHeight w:val="420"/>
          <w:jc w:val="center"/>
        </w:trPr>
        <w:tc>
          <w:tcPr>
            <w:tcW w:w="94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2003</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221.79</w:t>
            </w:r>
          </w:p>
        </w:tc>
        <w:tc>
          <w:tcPr>
            <w:tcW w:w="168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8.45</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64.00</w:t>
            </w:r>
          </w:p>
        </w:tc>
        <w:tc>
          <w:tcPr>
            <w:tcW w:w="1391"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27.55</w:t>
            </w:r>
          </w:p>
        </w:tc>
      </w:tr>
      <w:tr w:rsidTr="006A1F00">
        <w:tblPrEx>
          <w:tblW w:w="7103" w:type="dxa"/>
          <w:jc w:val="center"/>
          <w:tblLayout w:type="fixed"/>
          <w:tblLook w:val="04A0"/>
        </w:tblPrEx>
        <w:trPr>
          <w:trHeight w:val="411"/>
          <w:jc w:val="center"/>
        </w:trPr>
        <w:tc>
          <w:tcPr>
            <w:tcW w:w="94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2004</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308.11</w:t>
            </w:r>
          </w:p>
        </w:tc>
        <w:tc>
          <w:tcPr>
            <w:tcW w:w="168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4.50</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73.81</w:t>
            </w:r>
          </w:p>
        </w:tc>
        <w:tc>
          <w:tcPr>
            <w:tcW w:w="1391"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21.69</w:t>
            </w:r>
          </w:p>
        </w:tc>
      </w:tr>
      <w:tr w:rsidTr="006A1F00">
        <w:tblPrEx>
          <w:tblW w:w="7103" w:type="dxa"/>
          <w:jc w:val="center"/>
          <w:tblLayout w:type="fixed"/>
          <w:tblLook w:val="04A0"/>
        </w:tblPrEx>
        <w:trPr>
          <w:trHeight w:val="420"/>
          <w:jc w:val="center"/>
        </w:trPr>
        <w:tc>
          <w:tcPr>
            <w:tcW w:w="94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2005</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458.19</w:t>
            </w:r>
          </w:p>
        </w:tc>
        <w:tc>
          <w:tcPr>
            <w:tcW w:w="1687"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1.70</w:t>
            </w:r>
          </w:p>
        </w:tc>
        <w:tc>
          <w:tcPr>
            <w:tcW w:w="1539"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78.93</w:t>
            </w:r>
          </w:p>
        </w:tc>
        <w:tc>
          <w:tcPr>
            <w:tcW w:w="1391" w:type="dxa"/>
            <w:shd w:val="clear" w:color="auto" w:fill="auto"/>
            <w:vAlign w:val="center"/>
          </w:tcPr>
          <w:p w:rsidR="003457CD" w:rsidRPr="006A1F00">
            <w:pPr>
              <w:tabs>
                <w:tab w:val="left" w:pos="1621"/>
                <w:tab w:val="left" w:pos="2914"/>
                <w:tab w:val="left" w:pos="3997"/>
                <w:tab w:val="left" w:pos="5074"/>
              </w:tabs>
              <w:spacing w:line="270" w:lineRule="exact"/>
              <w:rPr>
                <w:rFonts w:asciiTheme="minorEastAsia" w:hAnsiTheme="minorEastAsia"/>
                <w:sz w:val="21"/>
                <w:szCs w:val="21"/>
              </w:rPr>
            </w:pPr>
            <w:r w:rsidRPr="006A1F00">
              <w:rPr>
                <w:rFonts w:asciiTheme="minorEastAsia" w:hAnsiTheme="minorEastAsia"/>
                <w:sz w:val="21"/>
                <w:szCs w:val="21"/>
              </w:rPr>
              <w:t>19.37</w:t>
            </w:r>
          </w:p>
        </w:tc>
      </w:tr>
    </w:tbl>
    <w:p w:rsidR="003457CD" w:rsidRPr="006A1F00">
      <w:pPr>
        <w:tabs>
          <w:tab w:val="left" w:pos="1621"/>
          <w:tab w:val="left" w:pos="2914"/>
          <w:tab w:val="left" w:pos="3997"/>
          <w:tab w:val="left" w:pos="5074"/>
        </w:tabs>
        <w:spacing w:line="270" w:lineRule="exact"/>
        <w:rPr>
          <w:rFonts w:asciiTheme="minorEastAsia" w:eastAsiaTheme="minorEastAsia" w:hAnsiTheme="minorEastAsia"/>
          <w:sz w:val="21"/>
          <w:szCs w:val="21"/>
        </w:rPr>
      </w:pP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(资料来源:根据《中国统计年鉴2006》数据计算)</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(1)分析表中数据,指出我国工业污染治理投资来源的变化趋势。</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(2)通过表中数据判读我国污染治理责任的变化。</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(3)企业应如何避免走“先污染,后治理”的道路?</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解析:</w:t>
      </w:r>
      <w:r w:rsidRPr="006A1F00">
        <w:rPr>
          <w:rFonts w:asciiTheme="minorEastAsia" w:eastAsiaTheme="minorEastAsia" w:hAnsiTheme="minorEastAsia"/>
          <w:sz w:val="21"/>
          <w:szCs w:val="21"/>
          <w:lang w:eastAsia="zh-CN"/>
        </w:rPr>
        <w:t>第(1)(2)题,主要考查读表分析能力和语言表述能力。从表中数据可以看出国家预算内资金比重不断下降,企业自筹资金比重不断上升;这体现了“谁污染,谁治理”的原则。第(3)题,要想避免走“先污染,后治理”的道路,就要转变经济发展模式,加大科技投入,对废弃物进行科学处理。</w:t>
      </w:r>
    </w:p>
    <w:p w:rsidR="003457CD" w:rsidRPr="006A1F00">
      <w:pPr>
        <w:tabs>
          <w:tab w:val="left" w:pos="1621"/>
          <w:tab w:val="left" w:pos="2914"/>
          <w:tab w:val="left" w:pos="3997"/>
          <w:tab w:val="left" w:pos="5074"/>
        </w:tabs>
        <w:rPr>
          <w:rFonts w:asciiTheme="minorEastAsia" w:eastAsiaTheme="minorEastAsia" w:hAnsiTheme="minorEastAsia"/>
          <w:sz w:val="21"/>
          <w:szCs w:val="21"/>
          <w:lang w:eastAsia="zh-CN"/>
        </w:rPr>
      </w:pPr>
      <w:r w:rsidRPr="006A1F00">
        <w:rPr>
          <w:rFonts w:asciiTheme="minorEastAsia" w:eastAsiaTheme="minorEastAsia" w:hAnsiTheme="minorEastAsia"/>
          <w:color w:val="FF0000"/>
          <w:sz w:val="21"/>
          <w:szCs w:val="21"/>
          <w:lang w:eastAsia="zh-CN"/>
        </w:rPr>
        <w:t>答案:</w:t>
      </w:r>
      <w:r w:rsidRPr="006A1F00">
        <w:rPr>
          <w:rFonts w:asciiTheme="minorEastAsia" w:eastAsiaTheme="minorEastAsia" w:hAnsiTheme="minorEastAsia"/>
          <w:sz w:val="21"/>
          <w:szCs w:val="21"/>
          <w:lang w:eastAsia="zh-CN"/>
        </w:rPr>
        <w:t>(1)国家预算内资金比重下降;企业自筹资金所占比重大幅上升。</w:t>
      </w:r>
    </w:p>
    <w:p w:rsidR="003457CD" w:rsidRPr="006A1F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(2)政府承担的责任减小,企业承担的责任增大(体现了“谁污染,谁治理”的原则)。</w:t>
      </w:r>
    </w:p>
    <w:p w:rsidR="003457CD" w:rsidRPr="006A1F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6A1F00">
        <w:rPr>
          <w:rFonts w:asciiTheme="minorEastAsia" w:eastAsiaTheme="minorEastAsia" w:hAnsiTheme="minorEastAsia"/>
          <w:sz w:val="21"/>
          <w:szCs w:val="21"/>
          <w:lang w:eastAsia="zh-CN"/>
        </w:rPr>
        <w:t>(3)清洁生产或发展循环经济;对废弃物进行无害化处理;利用清洁能源,加大技术投入。</w:t>
      </w:r>
    </w:p>
    <w:p w:rsidR="000F4748">
      <w:pPr>
        <w:rPr>
          <w:rFonts w:asciiTheme="minorEastAsia" w:eastAsiaTheme="minorEastAsia" w:hAnsiTheme="minorEastAsia"/>
          <w:sz w:val="21"/>
          <w:szCs w:val="21"/>
          <w:lang w:eastAsia="zh-CN"/>
        </w:rPr>
      </w:pPr>
    </w:p>
    <w:p w:rsidR="000F4748"/>
    <w:p w:rsidR="003457CD" w:rsidRPr="006A1F00">
      <w:pPr>
        <w:rPr>
          <w:rFonts w:asciiTheme="minorEastAsia" w:eastAsiaTheme="minorEastAsia" w:hAnsiTheme="minorEastAsia"/>
          <w:sz w:val="21"/>
          <w:szCs w:val="21"/>
          <w:lang w:eastAsia="zh-CN"/>
        </w:rPr>
      </w:pPr>
    </w:p>
    <w:sectPr w:rsidSect="0024041F">
      <w:headerReference w:type="even" r:id="rId7"/>
      <w:headerReference w:type="default" r:id="rId8"/>
      <w:footerReference w:type="even" r:id="rId9"/>
      <w:footerReference w:type="default" r:id="rId10"/>
      <w:headerReference w:type="first" r:id="rId11"/>
      <w:footerReference w:type="first" r:id="rId12"/>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74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F4748" w:rsidP="000F474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74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F4748" w:rsidP="000F474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748">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7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7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7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0F4748"/>
    <w:rsid w:val="003457CD"/>
    <w:rsid w:val="004A2361"/>
    <w:rsid w:val="006A1F00"/>
    <w:rsid w:val="00AA776A"/>
    <w:rsid w:val="00E1398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24041F"/>
    <w:rPr>
      <w:sz w:val="24"/>
      <w:szCs w:val="24"/>
      <w:lang w:eastAsia="en-US" w:bidi="en-US"/>
    </w:rPr>
  </w:style>
  <w:style w:type="paragraph" w:styleId="Heading1">
    <w:name w:val="heading 1"/>
    <w:basedOn w:val="Normal"/>
    <w:next w:val="Normal"/>
    <w:link w:val="1Char"/>
    <w:qFormat/>
    <w:rsid w:val="0024041F"/>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24041F"/>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24041F"/>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24041F"/>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24041F"/>
    <w:pPr>
      <w:numPr>
        <w:ilvl w:val="3"/>
        <w:numId w:val="1"/>
      </w:numPr>
      <w:contextualSpacing/>
    </w:pPr>
  </w:style>
  <w:style w:type="paragraph" w:styleId="ListBullet">
    <w:name w:val="List Bullet"/>
    <w:basedOn w:val="Normal"/>
    <w:uiPriority w:val="4"/>
    <w:qFormat/>
    <w:rsid w:val="0024041F"/>
    <w:pPr>
      <w:numPr>
        <w:numId w:val="1"/>
      </w:numPr>
      <w:spacing w:after="180"/>
    </w:pPr>
  </w:style>
  <w:style w:type="paragraph" w:styleId="ListBullet3">
    <w:name w:val="List Bullet 3"/>
    <w:basedOn w:val="Normal"/>
    <w:uiPriority w:val="99"/>
    <w:rsid w:val="0024041F"/>
    <w:pPr>
      <w:numPr>
        <w:ilvl w:val="2"/>
        <w:numId w:val="1"/>
      </w:numPr>
      <w:contextualSpacing/>
    </w:pPr>
  </w:style>
  <w:style w:type="paragraph" w:styleId="BodyText">
    <w:name w:val="Body Text"/>
    <w:basedOn w:val="Normal"/>
    <w:link w:val="Char0"/>
    <w:uiPriority w:val="1"/>
    <w:qFormat/>
    <w:rsid w:val="0024041F"/>
    <w:pPr>
      <w:spacing w:after="180"/>
    </w:pPr>
  </w:style>
  <w:style w:type="paragraph" w:styleId="ListBullet2">
    <w:name w:val="List Bullet 2"/>
    <w:basedOn w:val="Normal"/>
    <w:uiPriority w:val="99"/>
    <w:rsid w:val="0024041F"/>
    <w:pPr>
      <w:numPr>
        <w:ilvl w:val="1"/>
        <w:numId w:val="1"/>
      </w:numPr>
      <w:contextualSpacing/>
    </w:pPr>
  </w:style>
  <w:style w:type="paragraph" w:styleId="PlainText">
    <w:name w:val="Plain Text"/>
    <w:basedOn w:val="Normal"/>
    <w:link w:val="Char4"/>
    <w:rsid w:val="0024041F"/>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24041F"/>
    <w:pPr>
      <w:numPr>
        <w:ilvl w:val="4"/>
        <w:numId w:val="1"/>
      </w:numPr>
      <w:contextualSpacing/>
    </w:pPr>
  </w:style>
  <w:style w:type="paragraph" w:styleId="BalloonText">
    <w:name w:val="Balloon Text"/>
    <w:basedOn w:val="Normal"/>
    <w:link w:val="Char6"/>
    <w:qFormat/>
    <w:rsid w:val="0024041F"/>
    <w:pPr>
      <w:spacing w:line="240" w:lineRule="auto"/>
    </w:pPr>
    <w:rPr>
      <w:sz w:val="18"/>
      <w:szCs w:val="18"/>
    </w:rPr>
  </w:style>
  <w:style w:type="paragraph" w:styleId="Footer">
    <w:name w:val="footer"/>
    <w:basedOn w:val="Normal"/>
    <w:link w:val="Char2"/>
    <w:uiPriority w:val="99"/>
    <w:unhideWhenUsed/>
    <w:rsid w:val="0024041F"/>
    <w:pPr>
      <w:tabs>
        <w:tab w:val="center" w:pos="4680"/>
        <w:tab w:val="right" w:pos="9360"/>
      </w:tabs>
    </w:pPr>
  </w:style>
  <w:style w:type="paragraph" w:styleId="Header">
    <w:name w:val="header"/>
    <w:basedOn w:val="Normal"/>
    <w:link w:val="Char5"/>
    <w:unhideWhenUsed/>
    <w:rsid w:val="0024041F"/>
    <w:pPr>
      <w:tabs>
        <w:tab w:val="center" w:pos="4680"/>
        <w:tab w:val="right" w:pos="9360"/>
      </w:tabs>
    </w:pPr>
  </w:style>
  <w:style w:type="paragraph" w:styleId="NormalWeb">
    <w:name w:val="Normal (Web)"/>
    <w:basedOn w:val="Normal"/>
    <w:rsid w:val="0024041F"/>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24041F"/>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24041F"/>
    <w:rPr>
      <w:b/>
      <w:bCs/>
    </w:rPr>
  </w:style>
  <w:style w:type="character" w:styleId="PageNumber">
    <w:name w:val="page number"/>
    <w:basedOn w:val="DefaultParagraphFont"/>
    <w:qFormat/>
    <w:rsid w:val="0024041F"/>
  </w:style>
  <w:style w:type="character" w:styleId="Emphasis">
    <w:name w:val="Emphasis"/>
    <w:uiPriority w:val="20"/>
    <w:qFormat/>
    <w:rsid w:val="0024041F"/>
    <w:rPr>
      <w:rFonts w:ascii="Times New Roman" w:hAnsi="Times New Roman"/>
      <w:b/>
      <w:i/>
      <w:iCs/>
    </w:rPr>
  </w:style>
  <w:style w:type="character" w:styleId="CommentReference">
    <w:name w:val="annotation reference"/>
    <w:semiHidden/>
    <w:unhideWhenUsed/>
    <w:rsid w:val="0024041F"/>
    <w:rPr>
      <w:vanish/>
      <w:sz w:val="16"/>
      <w:szCs w:val="16"/>
    </w:rPr>
  </w:style>
  <w:style w:type="table" w:styleId="TableGrid">
    <w:name w:val="Table Grid"/>
    <w:basedOn w:val="TableNormal"/>
    <w:uiPriority w:val="59"/>
    <w:rsid w:val="0024041F"/>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24041F"/>
    <w:rPr>
      <w:rFonts w:ascii="Arial" w:eastAsia="Times New Roman" w:hAnsi="Arial" w:cs="Times New Roman"/>
      <w:b/>
      <w:bCs/>
      <w:kern w:val="32"/>
      <w:sz w:val="32"/>
      <w:szCs w:val="32"/>
    </w:rPr>
  </w:style>
  <w:style w:type="character" w:customStyle="1" w:styleId="2Char">
    <w:name w:val="标题 2 Char"/>
    <w:link w:val="Heading2"/>
    <w:uiPriority w:val="9"/>
    <w:rsid w:val="0024041F"/>
    <w:rPr>
      <w:rFonts w:ascii="Arial" w:eastAsia="Times New Roman" w:hAnsi="Arial" w:cs="Times New Roman"/>
      <w:b/>
      <w:bCs/>
      <w:i/>
      <w:iCs/>
      <w:sz w:val="28"/>
      <w:szCs w:val="28"/>
    </w:rPr>
  </w:style>
  <w:style w:type="character" w:customStyle="1" w:styleId="3Char">
    <w:name w:val="标题 3 Char"/>
    <w:link w:val="Heading3"/>
    <w:uiPriority w:val="9"/>
    <w:rsid w:val="0024041F"/>
    <w:rPr>
      <w:rFonts w:ascii="Arial" w:eastAsia="Times New Roman" w:hAnsi="Arial" w:cs="Times New Roman"/>
      <w:b/>
      <w:bCs/>
      <w:sz w:val="26"/>
      <w:szCs w:val="26"/>
    </w:rPr>
  </w:style>
  <w:style w:type="character" w:customStyle="1" w:styleId="Char">
    <w:name w:val="标题 Char"/>
    <w:link w:val="Title"/>
    <w:uiPriority w:val="10"/>
    <w:qFormat/>
    <w:rsid w:val="0024041F"/>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24041F"/>
  </w:style>
  <w:style w:type="paragraph" w:styleId="Quote">
    <w:name w:val="Quote"/>
    <w:basedOn w:val="Normal"/>
    <w:next w:val="Normal"/>
    <w:link w:val="Char1"/>
    <w:uiPriority w:val="29"/>
    <w:qFormat/>
    <w:rsid w:val="0024041F"/>
    <w:rPr>
      <w:i/>
    </w:rPr>
  </w:style>
  <w:style w:type="character" w:customStyle="1" w:styleId="Char1">
    <w:name w:val="引用 Char"/>
    <w:link w:val="Quote"/>
    <w:uiPriority w:val="29"/>
    <w:qFormat/>
    <w:rsid w:val="0024041F"/>
    <w:rPr>
      <w:i/>
      <w:sz w:val="24"/>
      <w:szCs w:val="24"/>
    </w:rPr>
  </w:style>
  <w:style w:type="character" w:customStyle="1" w:styleId="4Char">
    <w:name w:val="标题 4 Char"/>
    <w:link w:val="Heading4"/>
    <w:semiHidden/>
    <w:rsid w:val="0024041F"/>
    <w:rPr>
      <w:rFonts w:ascii="Arial" w:eastAsia="Times New Roman" w:hAnsi="Arial" w:cs="Times New Roman"/>
      <w:b/>
      <w:bCs/>
      <w:i/>
      <w:iCs/>
    </w:rPr>
  </w:style>
  <w:style w:type="character" w:customStyle="1" w:styleId="NoProofing">
    <w:name w:val="No Proofing"/>
    <w:uiPriority w:val="1"/>
    <w:rsid w:val="0024041F"/>
    <w:rPr>
      <w:lang w:val="en-US"/>
    </w:rPr>
  </w:style>
  <w:style w:type="character" w:customStyle="1" w:styleId="Char2">
    <w:name w:val="页脚 Char"/>
    <w:basedOn w:val="DefaultParagraphFont"/>
    <w:link w:val="Footer"/>
    <w:uiPriority w:val="99"/>
    <w:qFormat/>
    <w:rsid w:val="0024041F"/>
    <w:rPr>
      <w:sz w:val="24"/>
      <w:szCs w:val="24"/>
      <w:lang w:eastAsia="en-US" w:bidi="en-US"/>
    </w:rPr>
  </w:style>
  <w:style w:type="paragraph" w:customStyle="1" w:styleId="Char3">
    <w:name w:val="Char3"/>
    <w:basedOn w:val="Normal"/>
    <w:rsid w:val="0024041F"/>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24041F"/>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24041F"/>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24041F"/>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24041F"/>
    <w:rPr>
      <w:sz w:val="24"/>
      <w:szCs w:val="24"/>
      <w:lang w:eastAsia="en-US" w:bidi="en-US"/>
    </w:rPr>
  </w:style>
  <w:style w:type="character" w:customStyle="1" w:styleId="Char6">
    <w:name w:val="批注框文本 Char"/>
    <w:basedOn w:val="DefaultParagraphFont"/>
    <w:link w:val="BalloonText"/>
    <w:qFormat/>
    <w:rsid w:val="0024041F"/>
    <w:rPr>
      <w:sz w:val="18"/>
      <w:szCs w:val="18"/>
      <w:lang w:eastAsia="en-US" w:bidi="en-US"/>
    </w:rPr>
  </w:style>
  <w:style w:type="paragraph" w:customStyle="1" w:styleId="a">
    <w:name w:val="一级章节"/>
    <w:basedOn w:val="Normal"/>
    <w:qFormat/>
    <w:rsid w:val="0024041F"/>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24041F"/>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24041F"/>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530612-E6E1-4020-9965-BFC14088AA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1798</Words>
  <Characters>2033</Characters>
  <Application>Microsoft Office Word</Application>
  <DocSecurity>0</DocSecurity>
  <Lines>96</Lines>
  <Paragraphs>136</Paragraphs>
  <ScaleCrop>false</ScaleCrop>
  <Company/>
  <LinksUpToDate>false</LinksUpToDate>
  <CharactersWithSpaces>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