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7.7 -->
  <w:body>
    <w:p w:rsidR="00B246F7" w:rsidRPr="00F67FFA" w:rsidP="00F67FFA">
      <w:pPr>
        <w:pStyle w:val="a0"/>
        <w:tabs>
          <w:tab w:val="left" w:pos="1621"/>
          <w:tab w:val="left" w:pos="2914"/>
          <w:tab w:val="left" w:pos="3997"/>
          <w:tab w:val="left" w:pos="5074"/>
        </w:tabs>
        <w:spacing w:line="510" w:lineRule="exact"/>
        <w:jc w:val="center"/>
        <w:rPr>
          <w:rFonts w:ascii="宋体" w:eastAsia="宋体" w:hAnsi="宋体"/>
          <w:b/>
          <w:color w:val="FF0000"/>
          <w:sz w:val="28"/>
        </w:rPr>
      </w:pPr>
      <w:r w:rsidRPr="00F67FFA">
        <w:rPr>
          <w:rFonts w:ascii="宋体" w:eastAsia="宋体" w:hAnsi="宋体"/>
          <w:b/>
          <w:color w:val="FF0000"/>
          <w:sz w:val="28"/>
        </w:rPr>
        <w:t>第二章测</w:t>
      </w:r>
      <w:r w:rsidRPr="00F67FFA" w:rsidR="00F67FFA">
        <w:rPr>
          <w:rFonts w:ascii="宋体" w:eastAsia="宋体" w:hAnsi="宋体" w:hint="eastAsia"/>
          <w:b/>
          <w:color w:val="FF0000"/>
          <w:sz w:val="28"/>
        </w:rPr>
        <w:t>评</w:t>
      </w:r>
      <w:bookmarkStart w:id="0" w:name="_GoBack"/>
      <w:bookmarkEnd w:id="0"/>
    </w:p>
    <w:p w:rsidR="00B246F7" w:rsidRPr="00F67FFA">
      <w:pPr>
        <w:pStyle w:val="a0"/>
        <w:tabs>
          <w:tab w:val="left" w:pos="1621"/>
          <w:tab w:val="left" w:pos="2914"/>
          <w:tab w:val="left" w:pos="3997"/>
          <w:tab w:val="left" w:pos="5074"/>
        </w:tabs>
        <w:spacing w:line="360" w:lineRule="exact"/>
        <w:jc w:val="center"/>
        <w:rPr>
          <w:rFonts w:ascii="宋体" w:eastAsia="宋体" w:hAnsi="宋体"/>
          <w:sz w:val="21"/>
        </w:rPr>
      </w:pPr>
      <w:r w:rsidRPr="00F67FFA">
        <w:rPr>
          <w:rFonts w:ascii="宋体" w:eastAsia="宋体" w:hAnsi="宋体"/>
          <w:sz w:val="21"/>
        </w:rPr>
        <w:t>(时间:60分钟　满分:100分)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315" w:lineRule="exact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一、选择题(共20小题,每小题2.5分,共50分)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读下列图片,完成第1~3题。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209165" cy="1776730"/>
            <wp:effectExtent l="0" t="0" r="0" b="0"/>
            <wp:docPr id="246" name="K33.eps" descr="id:21474910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571478" name="K33.eps" descr="id:214749101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680" cy="17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</w:t>
      </w:r>
      <w:r w:rsidRPr="00F67FFA">
        <w:rPr>
          <w:rFonts w:ascii="宋体" w:hAnsi="宋体"/>
          <w:sz w:val="21"/>
          <w:lang w:eastAsia="zh-CN"/>
        </w:rPr>
        <w:t>.图片中的物质与图例乙所示物质同类的是(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　　　　　 　　　　　　 　　　　　　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1485900" cy="1103630"/>
            <wp:effectExtent l="0" t="0" r="0" b="0"/>
            <wp:docPr id="247" name="K34.eps" descr="id:214749101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239018" name="K34.eps" descr="id:214749101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6080" cy="110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A.①</w:t>
      </w:r>
      <w:r w:rsidRPr="00F67FFA">
        <w:rPr>
          <w:rFonts w:ascii="宋体" w:hAnsi="宋体"/>
          <w:sz w:val="21"/>
          <w:lang w:eastAsia="zh-CN"/>
        </w:rPr>
        <w:tab/>
        <w:t>B.②</w:t>
      </w:r>
      <w:r w:rsidRPr="00F67FFA">
        <w:rPr>
          <w:rFonts w:ascii="宋体" w:hAnsi="宋体"/>
          <w:sz w:val="21"/>
          <w:lang w:eastAsia="zh-CN"/>
        </w:rPr>
        <w:tab/>
        <w:t>C.③</w:t>
      </w:r>
      <w:r w:rsidRPr="00F67FFA">
        <w:rPr>
          <w:rFonts w:ascii="宋体" w:hAnsi="宋体"/>
          <w:sz w:val="21"/>
          <w:lang w:eastAsia="zh-CN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2</w:t>
      </w:r>
      <w:r w:rsidRPr="00F67FFA">
        <w:rPr>
          <w:rFonts w:ascii="宋体" w:hAnsi="宋体"/>
          <w:sz w:val="21"/>
          <w:lang w:eastAsia="zh-CN"/>
        </w:rPr>
        <w:t>.图片中的物质属于非可再生资源的是(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A.①</w:t>
      </w:r>
      <w:r w:rsidRPr="00F67FFA">
        <w:rPr>
          <w:rFonts w:ascii="宋体" w:hAnsi="宋体"/>
          <w:sz w:val="21"/>
          <w:lang w:eastAsia="zh-CN"/>
        </w:rPr>
        <w:tab/>
        <w:t>B.②</w:t>
      </w:r>
      <w:r w:rsidRPr="00F67FFA">
        <w:rPr>
          <w:rFonts w:ascii="宋体" w:hAnsi="宋体"/>
          <w:sz w:val="21"/>
          <w:lang w:eastAsia="zh-CN"/>
        </w:rPr>
        <w:tab/>
        <w:t>C.③</w:t>
      </w:r>
      <w:r w:rsidRPr="00F67FFA">
        <w:rPr>
          <w:rFonts w:ascii="宋体" w:hAnsi="宋体"/>
          <w:sz w:val="21"/>
          <w:lang w:eastAsia="zh-CN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3</w:t>
      </w:r>
      <w:r w:rsidRPr="00F67FFA">
        <w:rPr>
          <w:rFonts w:ascii="宋体" w:hAnsi="宋体"/>
          <w:sz w:val="21"/>
          <w:lang w:eastAsia="zh-CN"/>
        </w:rPr>
        <w:t>.被人类开发利用后,可以依靠生态系统自身的运行力量得到恢复和再生的自然资源是(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A.①</w:t>
      </w:r>
      <w:r w:rsidRPr="00F67FFA">
        <w:rPr>
          <w:rFonts w:ascii="宋体" w:hAnsi="宋体"/>
          <w:sz w:val="21"/>
          <w:lang w:eastAsia="zh-CN"/>
        </w:rPr>
        <w:tab/>
        <w:t>B.②</w:t>
      </w:r>
      <w:r w:rsidRPr="00F67FFA">
        <w:rPr>
          <w:rFonts w:ascii="宋体" w:hAnsi="宋体"/>
          <w:sz w:val="21"/>
          <w:lang w:eastAsia="zh-CN"/>
        </w:rPr>
        <w:tab/>
        <w:t>C.③</w:t>
      </w:r>
      <w:r w:rsidRPr="00F67FFA">
        <w:rPr>
          <w:rFonts w:ascii="宋体" w:hAnsi="宋体"/>
          <w:sz w:val="21"/>
          <w:lang w:eastAsia="zh-CN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1题,图片①~④依次表示煤炭、沙漠、森林、花卉,图例乙表示能源资源,四种物质中,只有煤炭属于能源矿产资源。第2题,矿产资源属于非可再生资源。第3题,沙漠目前并没有用于人类的生产和生活;森林是生物资源;图片④中的“心”形图案是“题眼”,说明图片中的花卉是人类培育的结果,不属于自然资源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1.A　2.A　3.C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读下列漫画,完成第4~6题。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463165" cy="2336165"/>
            <wp:effectExtent l="0" t="0" r="0" b="0"/>
            <wp:docPr id="248" name="K35.eps" descr="id:21474910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062132" name="K35.eps" descr="id:214749102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480" cy="233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4</w:t>
      </w:r>
      <w:r w:rsidRPr="00F67FFA">
        <w:rPr>
          <w:rFonts w:ascii="宋体" w:hAnsi="宋体"/>
          <w:sz w:val="21"/>
          <w:lang w:eastAsia="zh-CN"/>
        </w:rPr>
        <w:t>.能表示水资源危机的漫画是(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A.①</w:t>
      </w:r>
      <w:r w:rsidRPr="00F67FFA">
        <w:rPr>
          <w:rFonts w:ascii="宋体" w:hAnsi="宋体"/>
          <w:sz w:val="21"/>
        </w:rPr>
        <w:tab/>
        <w:t>B.②</w:t>
      </w:r>
      <w:r w:rsidRPr="00F67FFA">
        <w:rPr>
          <w:rFonts w:ascii="宋体" w:hAnsi="宋体"/>
          <w:sz w:val="21"/>
        </w:rPr>
        <w:tab/>
        <w:t>C.③</w:t>
      </w:r>
      <w:r w:rsidRPr="00F67FFA">
        <w:rPr>
          <w:rFonts w:ascii="宋体" w:hAnsi="宋体"/>
          <w:sz w:val="21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5</w:t>
      </w:r>
      <w:r w:rsidRPr="00F67FFA">
        <w:rPr>
          <w:rFonts w:ascii="宋体" w:hAnsi="宋体"/>
          <w:sz w:val="21"/>
          <w:lang w:eastAsia="zh-CN"/>
        </w:rPr>
        <w:t>.漫画中的行为属于滥采导致耕地减少的是(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A.①</w:t>
      </w:r>
      <w:r w:rsidRPr="00F67FFA">
        <w:rPr>
          <w:rFonts w:ascii="宋体" w:hAnsi="宋体"/>
          <w:sz w:val="21"/>
        </w:rPr>
        <w:tab/>
        <w:t>B.②</w:t>
      </w:r>
      <w:r w:rsidRPr="00F67FFA">
        <w:rPr>
          <w:rFonts w:ascii="宋体" w:hAnsi="宋体"/>
          <w:sz w:val="21"/>
        </w:rPr>
        <w:tab/>
        <w:t>C.③</w:t>
      </w:r>
      <w:r w:rsidRPr="00F67FFA">
        <w:rPr>
          <w:rFonts w:ascii="宋体" w:hAnsi="宋体"/>
          <w:sz w:val="21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6</w:t>
      </w:r>
      <w:r w:rsidRPr="00F67FFA">
        <w:rPr>
          <w:rFonts w:ascii="宋体" w:hAnsi="宋体"/>
          <w:sz w:val="21"/>
          <w:lang w:eastAsia="zh-CN"/>
        </w:rPr>
        <w:t>.漫画中的行为会导致矿产资源短缺的是(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A.①</w:t>
      </w:r>
      <w:r w:rsidRPr="00F67FFA">
        <w:rPr>
          <w:rFonts w:ascii="宋体" w:hAnsi="宋体"/>
          <w:sz w:val="21"/>
        </w:rPr>
        <w:tab/>
        <w:t>B.②</w:t>
      </w:r>
      <w:r w:rsidRPr="00F67FFA">
        <w:rPr>
          <w:rFonts w:ascii="宋体" w:hAnsi="宋体"/>
          <w:sz w:val="21"/>
        </w:rPr>
        <w:tab/>
        <w:t>C.③</w:t>
      </w:r>
      <w:r w:rsidRPr="00F67FFA">
        <w:rPr>
          <w:rFonts w:ascii="宋体" w:hAnsi="宋体"/>
          <w:sz w:val="21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4题,漫画③表示的是缺水问题。第5题,漫画④中的耕牛是题眼,说明滥采瓷泥会导致耕地资源减少。第6题,非法采矿的表现是采富弃贫、储量消耗高,会造成矿产资源的浪费,导致矿产资源短缺;漫画①中的“非法开采”是题眼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4.C　5.D　6.A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  <w:lang w:eastAsia="zh-CN"/>
        </w:rPr>
        <w:t>有专家将季风区因地质环境特殊,又缺少水利设施而存留不住水的现象,称为工程性缺水。</w:t>
      </w:r>
      <w:r w:rsidRPr="00F67FFA">
        <w:rPr>
          <w:rFonts w:ascii="宋体" w:hAnsi="宋体"/>
          <w:sz w:val="21"/>
        </w:rPr>
        <w:t>据此完成第7~8题。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7</w:t>
      </w:r>
      <w:r w:rsidRPr="00F67FFA">
        <w:rPr>
          <w:rFonts w:ascii="宋体" w:hAnsi="宋体"/>
          <w:sz w:val="21"/>
          <w:lang w:eastAsia="zh-CN"/>
        </w:rPr>
        <w:t>.下列地区中,工程性缺水最严重的是(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A.华北平原</w:t>
      </w:r>
      <w:r w:rsidRPr="00F67FFA">
        <w:rPr>
          <w:rFonts w:ascii="宋体" w:hAnsi="宋体"/>
          <w:sz w:val="21"/>
          <w:lang w:eastAsia="zh-CN"/>
        </w:rPr>
        <w:tab/>
        <w:t>B.云贵高原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C.河西走廊</w:t>
      </w:r>
      <w:r w:rsidRPr="00F67FFA">
        <w:rPr>
          <w:rFonts w:ascii="宋体" w:hAnsi="宋体"/>
          <w:sz w:val="21"/>
          <w:lang w:eastAsia="zh-CN"/>
        </w:rPr>
        <w:tab/>
        <w:t>D.四川盆地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8</w:t>
      </w:r>
      <w:r w:rsidRPr="00F67FFA">
        <w:rPr>
          <w:rFonts w:ascii="宋体" w:hAnsi="宋体"/>
          <w:sz w:val="21"/>
          <w:lang w:eastAsia="zh-CN"/>
        </w:rPr>
        <w:t>.上述地区特殊的地质环境是(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A.黄土地貌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B.岩溶地貌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C.绿洲地区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D.河流谷地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云贵高原地区石灰岩广布,由于温暖湿润的气候,形成典型的喀斯特地貌,多孔隙和裂隙、溶洞等,地表水极易下渗,难以在地表存留,工程性缺水最严重。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7.B　8.B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土地资源是人类生存和发展的物质基础,当今中国最珍贵的是土地,最不被人珍惜的也是土地。分析下表,完成第9~10题。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jc w:val="center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我国耕地减少构成情况统计表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jc w:val="right"/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单位:万公顷</w:t>
      </w:r>
    </w:p>
    <w:tbl>
      <w:tblPr>
        <w:tblStyle w:val="TableGrid"/>
        <w:tblW w:w="5764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1249"/>
        <w:gridCol w:w="1249"/>
        <w:gridCol w:w="1249"/>
        <w:gridCol w:w="1249"/>
        <w:gridCol w:w="768"/>
      </w:tblGrid>
      <w:tr w:rsidTr="0024303C">
        <w:tblPrEx>
          <w:tblW w:w="5764" w:type="dxa"/>
          <w:jc w:val="center"/>
          <w:tbl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  <w:insideH w:val="single" w:sz="8" w:space="0" w:color="auto"/>
            <w:insideV w:val="single" w:sz="8" w:space="0" w:color="auto"/>
          </w:tblBorders>
          <w:tblLayout w:type="fixed"/>
          <w:tblLook w:val="04A0"/>
        </w:tblPrEx>
        <w:trPr>
          <w:trHeight w:val="956"/>
          <w:jc w:val="center"/>
        </w:trPr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　　构成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年代　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建设用地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生态退耕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结构调整</w:t>
            </w:r>
          </w:p>
        </w:tc>
        <w:tc>
          <w:tcPr>
            <w:tcW w:w="76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灾毁</w:t>
            </w:r>
          </w:p>
        </w:tc>
      </w:tr>
      <w:tr w:rsidTr="0024303C">
        <w:tblPrEx>
          <w:tblW w:w="5764" w:type="dxa"/>
          <w:jc w:val="center"/>
          <w:tblLayout w:type="fixed"/>
          <w:tblLook w:val="04A0"/>
        </w:tblPrEx>
        <w:trPr>
          <w:trHeight w:val="366"/>
          <w:jc w:val="center"/>
        </w:trPr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1987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19.2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16.4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4.7</w:t>
            </w:r>
          </w:p>
        </w:tc>
        <w:tc>
          <w:tcPr>
            <w:tcW w:w="76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5.9</w:t>
            </w:r>
          </w:p>
        </w:tc>
      </w:tr>
      <w:tr w:rsidTr="0024303C">
        <w:tblPrEx>
          <w:tblW w:w="5764" w:type="dxa"/>
          <w:jc w:val="center"/>
          <w:tblLayout w:type="fixed"/>
          <w:tblLook w:val="04A0"/>
        </w:tblPrEx>
        <w:trPr>
          <w:trHeight w:val="377"/>
          <w:jc w:val="center"/>
        </w:trPr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1997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17.6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16.5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16.5</w:t>
            </w:r>
          </w:p>
        </w:tc>
        <w:tc>
          <w:tcPr>
            <w:tcW w:w="76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7.0</w:t>
            </w:r>
          </w:p>
        </w:tc>
      </w:tr>
      <w:tr w:rsidTr="0024303C">
        <w:tblPrEx>
          <w:tblW w:w="5764" w:type="dxa"/>
          <w:jc w:val="center"/>
          <w:tblLayout w:type="fixed"/>
          <w:tblLook w:val="04A0"/>
        </w:tblPrEx>
        <w:trPr>
          <w:trHeight w:val="590"/>
          <w:jc w:val="center"/>
        </w:trPr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2007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20.5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39.5</w:t>
            </w:r>
          </w:p>
        </w:tc>
        <w:tc>
          <w:tcPr>
            <w:tcW w:w="1249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13.5</w:t>
            </w:r>
          </w:p>
        </w:tc>
        <w:tc>
          <w:tcPr>
            <w:tcW w:w="76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10.7</w:t>
            </w:r>
          </w:p>
        </w:tc>
      </w:tr>
    </w:tbl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70" w:lineRule="exact"/>
        <w:rPr>
          <w:rFonts w:ascii="宋体" w:hAnsi="宋体"/>
          <w:sz w:val="21"/>
        </w:rPr>
      </w:pP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9</w:t>
      </w:r>
      <w:r w:rsidRPr="00F67FFA">
        <w:rPr>
          <w:rFonts w:ascii="宋体" w:hAnsi="宋体"/>
          <w:sz w:val="21"/>
          <w:lang w:eastAsia="zh-CN"/>
        </w:rPr>
        <w:t>.生态退耕较多的两个省区是(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①甘肃　②内蒙古　③辽宁　④江苏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A.①②</w:t>
      </w:r>
      <w:r w:rsidRPr="00F67FFA">
        <w:rPr>
          <w:rFonts w:ascii="宋体" w:hAnsi="宋体"/>
          <w:sz w:val="21"/>
        </w:rPr>
        <w:tab/>
        <w:t>B.②③</w:t>
      </w:r>
      <w:r w:rsidRPr="00F67FFA">
        <w:rPr>
          <w:rFonts w:ascii="宋体" w:hAnsi="宋体"/>
          <w:sz w:val="21"/>
        </w:rPr>
        <w:tab/>
        <w:t>C.①④</w:t>
      </w:r>
      <w:r w:rsidRPr="00F67FFA">
        <w:rPr>
          <w:rFonts w:ascii="宋体" w:hAnsi="宋体"/>
          <w:sz w:val="21"/>
        </w:rPr>
        <w:tab/>
        <w:t>D.③④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10</w:t>
      </w:r>
      <w:r w:rsidRPr="00F67FFA">
        <w:rPr>
          <w:rFonts w:ascii="宋体" w:hAnsi="宋体"/>
          <w:sz w:val="21"/>
          <w:lang w:eastAsia="zh-CN"/>
        </w:rPr>
        <w:t>.专家警示,我国是人口大国,也是农业大国,必须保持1.2亿公顷的耕地底线。为了实现这一目标,下列措施适宜的是(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A.大面积围垦沿海湿地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B.加强土地资源管理,禁止建设用地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C.建立灾害预警系统,减少灾毁耕地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D.禁止大型工程建设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第9题,甘肃、内蒙古位于西北干旱、半干旱地区,退耕面积较多。第10题,考查保护耕地的措施。应遵循保护耕地、经济建设以及环境保护协调发展的原则。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9.A　10.C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中国既是能源生产大国,又是消费大国,但每吨标准煤的产出效率仅相当于日本的10.3%,欧盟的16.8%,美国的28.6%。读中国和世界能源消费结构图(煤、石油、天然气和其他能源),完成第11~12题。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1725930" cy="1117600"/>
            <wp:effectExtent l="0" t="0" r="0" b="0"/>
            <wp:docPr id="249" name="K36.eps" descr="id:21474910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308256" name="K36.eps" descr="id:214749104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6560" cy="11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11</w:t>
      </w:r>
      <w:r w:rsidRPr="00F67FFA">
        <w:rPr>
          <w:rFonts w:ascii="宋体" w:hAnsi="宋体"/>
          <w:sz w:val="21"/>
          <w:lang w:eastAsia="zh-CN"/>
        </w:rPr>
        <w:t>.中国能源消费结构中,目前需要大量进口的能源在图中是指(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A.a</w:t>
      </w:r>
      <w:r w:rsidRPr="00F67FFA">
        <w:rPr>
          <w:rFonts w:ascii="宋体" w:hAnsi="宋体"/>
          <w:sz w:val="21"/>
          <w:lang w:eastAsia="zh-CN"/>
        </w:rPr>
        <w:tab/>
        <w:t>B.b</w:t>
      </w:r>
      <w:r w:rsidRPr="00F67FFA">
        <w:rPr>
          <w:rFonts w:ascii="宋体" w:hAnsi="宋体"/>
          <w:sz w:val="21"/>
          <w:lang w:eastAsia="zh-CN"/>
        </w:rPr>
        <w:tab/>
        <w:t>C.c</w:t>
      </w:r>
      <w:r w:rsidRPr="00F67FFA">
        <w:rPr>
          <w:rFonts w:ascii="宋体" w:hAnsi="宋体"/>
          <w:sz w:val="21"/>
          <w:lang w:eastAsia="zh-CN"/>
        </w:rPr>
        <w:tab/>
        <w:t>D.d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12</w:t>
      </w:r>
      <w:r w:rsidRPr="00F67FFA">
        <w:rPr>
          <w:rFonts w:ascii="宋体" w:hAnsi="宋体"/>
          <w:sz w:val="21"/>
          <w:lang w:eastAsia="zh-CN"/>
        </w:rPr>
        <w:t>.我国能源产出效率低的主要原因是(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A.能源消费结构不合理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B.多高能耗、低产出的工业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C.管理不善,浪费现象严重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D.工业布局不合理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第11题,中国能源消费结构中,煤炭占第一位,石油占第二位,但是由于我国煤炭资源较为丰富,所以需要大量进口的是石油。第12题,能源产出效率低的主要原因为管理不善和浪费严重。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11.B　12.C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  <w:lang w:eastAsia="zh-CN"/>
        </w:rPr>
        <w:t>下图是近年来我国石油生产和消费统计图。</w:t>
      </w:r>
      <w:r w:rsidRPr="00F67FFA">
        <w:rPr>
          <w:rFonts w:ascii="宋体" w:hAnsi="宋体"/>
          <w:sz w:val="21"/>
        </w:rPr>
        <w:t>读图,完成第13~14题。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233930" cy="1243965"/>
            <wp:effectExtent l="0" t="0" r="0" b="0"/>
            <wp:docPr id="250" name="K37.eps" descr="id:21474910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650695" name="K37.eps" descr="id:214749104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4160" cy="12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13</w:t>
      </w:r>
      <w:r w:rsidRPr="00F67FFA">
        <w:rPr>
          <w:rFonts w:ascii="宋体" w:hAnsi="宋体"/>
          <w:sz w:val="21"/>
          <w:lang w:eastAsia="zh-CN"/>
        </w:rPr>
        <w:t>.字母M表示(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A.净出口量</w:t>
      </w:r>
      <w:r w:rsidRPr="00F67FFA">
        <w:rPr>
          <w:rFonts w:ascii="宋体" w:hAnsi="宋体"/>
          <w:sz w:val="21"/>
          <w:lang w:eastAsia="zh-CN"/>
        </w:rPr>
        <w:tab/>
        <w:t>B.净进口量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C.净储备量</w:t>
      </w:r>
      <w:r w:rsidRPr="00F67FFA">
        <w:rPr>
          <w:rFonts w:ascii="宋体" w:hAnsi="宋体"/>
          <w:sz w:val="21"/>
          <w:lang w:eastAsia="zh-CN"/>
        </w:rPr>
        <w:tab/>
        <w:t>D.净增产量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14</w:t>
      </w:r>
      <w:r w:rsidRPr="00F67FFA">
        <w:rPr>
          <w:rFonts w:ascii="宋体" w:hAnsi="宋体"/>
          <w:sz w:val="21"/>
          <w:lang w:eastAsia="zh-CN"/>
        </w:rPr>
        <w:t>.解决我国石油紧缺问题,目前可以采取的措施有(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A.限制石油化工业的发展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</w:rPr>
        <w:t>B.以新能源全面取代石油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C.降低油价以刺激石油消费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D.提高石油资源利用率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第13题,从图中可以看出,M为消费量与生产量之差,因而为净进口量。第14题,要解决我国石油紧缺问题,要从“开源”“节流”两个方面进行考虑,其中D项为“节流”措施。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13.B　14.D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  <w:lang w:eastAsia="zh-CN"/>
        </w:rPr>
        <w:t>煤炭作为一种常规能源,随着时代的进步,其利用方式多种多样。</w:t>
      </w:r>
      <w:r w:rsidRPr="00F67FFA">
        <w:rPr>
          <w:rFonts w:ascii="宋体" w:hAnsi="宋体"/>
          <w:sz w:val="21"/>
        </w:rPr>
        <w:t>读图,完成第15~16题。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1143635" cy="799465"/>
            <wp:effectExtent l="0" t="0" r="0" b="0"/>
            <wp:docPr id="251" name="K38.eps" descr="id:21474910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435025" name="K38.eps" descr="id:214749105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72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15</w:t>
      </w:r>
      <w:r w:rsidRPr="00F67FFA">
        <w:rPr>
          <w:rFonts w:ascii="宋体" w:hAnsi="宋体"/>
          <w:sz w:val="21"/>
          <w:lang w:eastAsia="zh-CN"/>
        </w:rPr>
        <w:t>.对消费地而言,最清洁且已大规模使用的方式是(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A.①</w:t>
      </w:r>
      <w:r w:rsidRPr="00F67FFA">
        <w:rPr>
          <w:rFonts w:ascii="宋体" w:hAnsi="宋体"/>
          <w:sz w:val="21"/>
          <w:lang w:eastAsia="zh-CN"/>
        </w:rPr>
        <w:tab/>
        <w:t>B.②</w:t>
      </w:r>
      <w:r w:rsidRPr="00F67FFA">
        <w:rPr>
          <w:rFonts w:ascii="宋体" w:hAnsi="宋体"/>
          <w:sz w:val="21"/>
          <w:lang w:eastAsia="zh-CN"/>
        </w:rPr>
        <w:tab/>
        <w:t>C.③</w:t>
      </w:r>
      <w:r w:rsidRPr="00F67FFA">
        <w:rPr>
          <w:rFonts w:ascii="宋体" w:hAnsi="宋体"/>
          <w:sz w:val="21"/>
          <w:lang w:eastAsia="zh-CN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16</w:t>
      </w:r>
      <w:r w:rsidRPr="00F67FFA">
        <w:rPr>
          <w:rFonts w:ascii="宋体" w:hAnsi="宋体"/>
          <w:sz w:val="21"/>
          <w:lang w:eastAsia="zh-CN"/>
        </w:rPr>
        <w:t>.综合我国能源生产和消费的实际情况,下列利用方式中,具有战略前景的是(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A.①</w:t>
      </w:r>
      <w:r w:rsidRPr="00F67FFA">
        <w:rPr>
          <w:rFonts w:ascii="宋体" w:hAnsi="宋体"/>
          <w:sz w:val="21"/>
          <w:lang w:eastAsia="zh-CN"/>
        </w:rPr>
        <w:tab/>
        <w:t>B.②</w:t>
      </w:r>
      <w:r w:rsidRPr="00F67FFA">
        <w:rPr>
          <w:rFonts w:ascii="宋体" w:hAnsi="宋体"/>
          <w:sz w:val="21"/>
          <w:lang w:eastAsia="zh-CN"/>
        </w:rPr>
        <w:tab/>
        <w:t>C.③</w:t>
      </w:r>
      <w:r w:rsidRPr="00F67FFA">
        <w:rPr>
          <w:rFonts w:ascii="宋体" w:hAnsi="宋体"/>
          <w:sz w:val="21"/>
          <w:lang w:eastAsia="zh-CN"/>
        </w:rPr>
        <w:tab/>
        <w:t>D.④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第15题,“大规模使用”是题眼。对消费地而言,用电最洁净;目前煤的气化技术尚不完善,成本过高。第16题,题目中的“战略前景”是题眼。我国煤炭资源丰富,但煤的气化量很低,前景广阔。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15.B　16.D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  <w:lang w:eastAsia="zh-CN"/>
        </w:rPr>
        <w:t>能源资源是人类生产活动得以进行和发展的动力。能源的利用和发展对人类社会经济发展起着巨大的推动作用。</w:t>
      </w:r>
      <w:r w:rsidRPr="00F67FFA">
        <w:rPr>
          <w:rFonts w:ascii="宋体" w:hAnsi="宋体"/>
          <w:sz w:val="21"/>
        </w:rPr>
        <w:t>读图,完成第17~18题。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602230" cy="1332865"/>
            <wp:effectExtent l="0" t="0" r="0" b="0"/>
            <wp:docPr id="252" name="K39.eps" descr="id:21474910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506991" name="K39.eps" descr="id:214749106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2800" cy="133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70" w:lineRule="exact"/>
        <w:jc w:val="center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全球能源消费历史及趋势图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17</w:t>
      </w:r>
      <w:r w:rsidRPr="00F67FFA">
        <w:rPr>
          <w:rFonts w:ascii="宋体" w:hAnsi="宋体"/>
          <w:sz w:val="21"/>
          <w:lang w:eastAsia="zh-CN"/>
        </w:rPr>
        <w:t>.全球能源消费历史及趋势图中体现的1900~2100年全球能源消费构成的变化特点是(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A.固体燃料的消费比重上升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B.液体、气体燃料的消费比重迅速降低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C.气体燃料的消费比重迅速上升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D.液体燃料的消费比重稳步上升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18</w:t>
      </w:r>
      <w:r w:rsidRPr="00F67FFA">
        <w:rPr>
          <w:rFonts w:ascii="宋体" w:hAnsi="宋体"/>
          <w:sz w:val="21"/>
          <w:lang w:eastAsia="zh-CN"/>
        </w:rPr>
        <w:t>.下图表示的是某地区的能源消费结构,这种能源消费结构易引发的环境问题是(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082165" cy="660400"/>
            <wp:effectExtent l="0" t="0" r="0" b="0"/>
            <wp:docPr id="253" name="K40.eps" descr="id:214749106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965826" name="K40.eps" descr="id:214749106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2600" cy="6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①大气污染加剧　②土壤肥力下降　③土壤污染严重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④水污染严重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A.①②</w:t>
      </w:r>
      <w:r w:rsidRPr="00F67FFA">
        <w:rPr>
          <w:rFonts w:ascii="宋体" w:hAnsi="宋体"/>
          <w:sz w:val="21"/>
          <w:lang w:eastAsia="zh-CN"/>
        </w:rPr>
        <w:tab/>
        <w:t>B.②③</w:t>
      </w:r>
      <w:r w:rsidRPr="00F67FFA">
        <w:rPr>
          <w:rFonts w:ascii="宋体" w:hAnsi="宋体"/>
          <w:sz w:val="21"/>
          <w:lang w:eastAsia="zh-CN"/>
        </w:rPr>
        <w:tab/>
        <w:t>C.①④</w:t>
      </w:r>
      <w:r w:rsidRPr="00F67FFA">
        <w:rPr>
          <w:rFonts w:ascii="宋体" w:hAnsi="宋体"/>
          <w:sz w:val="21"/>
          <w:lang w:eastAsia="zh-CN"/>
        </w:rPr>
        <w:tab/>
        <w:t>D.③④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17题,由全球能源消费历史及趋势图可知,1900~2100年全球能源消费构成的变化特点是气体燃料的消费比重迅速上升。第18题,该地区能源消费以煤炭、薪柴、植物秸秆为主,易产生大气污染;秸秆被大量燃烧不能以有机肥的形式返还农田,易使土壤肥力下降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17.C　18.A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sz w:val="21"/>
          <w:lang w:eastAsia="zh-CN"/>
        </w:rPr>
        <w:t>下图为世界某区域著名绿化工程示意图。</w:t>
      </w:r>
      <w:r w:rsidRPr="00F67FFA">
        <w:rPr>
          <w:rFonts w:ascii="宋体" w:hAnsi="宋体"/>
          <w:sz w:val="21"/>
        </w:rPr>
        <w:t>读图,完成第19~20题。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1776730" cy="799465"/>
            <wp:effectExtent l="0" t="0" r="0" b="0"/>
            <wp:docPr id="254" name="K41.eps" descr="id:21474910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670223" name="K41.eps" descr="id:214749107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96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19</w:t>
      </w:r>
      <w:r w:rsidRPr="00F67FFA">
        <w:rPr>
          <w:rFonts w:ascii="宋体" w:hAnsi="宋体"/>
          <w:sz w:val="21"/>
          <w:lang w:eastAsia="zh-CN"/>
        </w:rPr>
        <w:t>.兴建该工程主要是为了(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A.绿化美化环境</w:t>
      </w:r>
      <w:r w:rsidRPr="00F67FFA">
        <w:rPr>
          <w:rFonts w:ascii="宋体" w:hAnsi="宋体"/>
          <w:sz w:val="21"/>
          <w:lang w:eastAsia="zh-CN"/>
        </w:rPr>
        <w:tab/>
        <w:t>B.保持水土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C.减缓温室效应</w:t>
      </w:r>
      <w:r w:rsidRPr="00F67FFA">
        <w:rPr>
          <w:rFonts w:ascii="宋体" w:hAnsi="宋体"/>
          <w:sz w:val="21"/>
          <w:lang w:eastAsia="zh-CN"/>
        </w:rPr>
        <w:tab/>
        <w:t>D.防风固沙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20</w:t>
      </w:r>
      <w:r w:rsidRPr="00F67FFA">
        <w:rPr>
          <w:rFonts w:ascii="宋体" w:hAnsi="宋体"/>
          <w:sz w:val="21"/>
          <w:lang w:eastAsia="zh-CN"/>
        </w:rPr>
        <w:t>.该绿化工程最为广泛的树种是(　　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A.常绿硬叶林</w:t>
      </w:r>
      <w:r w:rsidRPr="00F67FFA">
        <w:rPr>
          <w:rFonts w:ascii="宋体" w:hAnsi="宋体"/>
          <w:sz w:val="21"/>
          <w:lang w:eastAsia="zh-CN"/>
        </w:rPr>
        <w:tab/>
        <w:t>B.落叶阔叶林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C.常绿阔叶林</w:t>
      </w:r>
      <w:r w:rsidRPr="00F67FFA">
        <w:rPr>
          <w:rFonts w:ascii="宋体" w:hAnsi="宋体"/>
          <w:sz w:val="21"/>
          <w:lang w:eastAsia="zh-CN"/>
        </w:rPr>
        <w:tab/>
        <w:t>D.针叶林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第19题,通过经纬度可判断该地为撒哈拉大沙漠北部,该地盛行东北信风,为防止沙漠化面积扩大,故在图中建立该工程。第20题,该区域为地中海气候,当地的植被为亚热带常绿硬叶林。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19.D　20.A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315" w:lineRule="exact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二、综合题(共50分)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b/>
          <w:sz w:val="21"/>
          <w:lang w:eastAsia="zh-CN"/>
        </w:rPr>
        <w:t>21</w:t>
      </w:r>
      <w:r w:rsidRPr="00F67FFA">
        <w:rPr>
          <w:rFonts w:ascii="宋体" w:hAnsi="宋体"/>
          <w:sz w:val="21"/>
          <w:lang w:eastAsia="zh-CN"/>
        </w:rPr>
        <w:t>.(14分)2014年3月22日是第22届“世界水日”,3月22~28日是第27届“中国水周”。联合国确定今年2014年“世界水日”的宣传主题是“水与能源”。水利部确定2014年我国纪念“世界水日”和“中国水周”活动的宣传主题为“加强河湖管理,建设水生态文明”。</w:t>
      </w:r>
      <w:r w:rsidRPr="00F67FFA">
        <w:rPr>
          <w:rFonts w:ascii="宋体" w:hAnsi="宋体"/>
          <w:sz w:val="21"/>
        </w:rPr>
        <w:t>结合下图,完成下列各题。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171065" cy="1738630"/>
            <wp:effectExtent l="0" t="0" r="0" b="0"/>
            <wp:docPr id="255" name="K42.eps" descr="id:21474910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482276" name="K42.eps" descr="id:214749108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520" cy="17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70" w:lineRule="exact"/>
        <w:jc w:val="center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中国各省级行政区域单位面积水资源分布(单位:米</w:t>
      </w:r>
      <w:r w:rsidRPr="00F67FFA">
        <w:rPr>
          <w:rFonts w:ascii="宋体" w:hAnsi="宋体"/>
          <w:sz w:val="21"/>
          <w:vertAlign w:val="superscript"/>
          <w:lang w:eastAsia="zh-CN"/>
        </w:rPr>
        <w:t>3</w:t>
      </w:r>
      <w:r w:rsidRPr="00F67FFA">
        <w:rPr>
          <w:rFonts w:ascii="宋体" w:hAnsi="宋体"/>
          <w:sz w:val="21"/>
          <w:lang w:eastAsia="zh-CN"/>
        </w:rPr>
        <w:t>/千米</w:t>
      </w:r>
      <w:r w:rsidRPr="00F67FFA">
        <w:rPr>
          <w:rFonts w:ascii="宋体" w:hAnsi="宋体"/>
          <w:sz w:val="21"/>
          <w:vertAlign w:val="superscript"/>
          <w:lang w:eastAsia="zh-CN"/>
        </w:rPr>
        <w:t>2</w:t>
      </w:r>
      <w:r w:rsidRPr="00F67FFA">
        <w:rPr>
          <w:rFonts w:ascii="宋体" w:hAnsi="宋体"/>
          <w:sz w:val="21"/>
          <w:lang w:eastAsia="zh-CN"/>
        </w:rPr>
        <w:t>)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(1)我国各省区单位面积水资源分布的特点是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。 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(2)图中水资源拥有量&lt;10万米</w:t>
      </w:r>
      <w:r w:rsidRPr="00F67FFA">
        <w:rPr>
          <w:rFonts w:ascii="宋体" w:hAnsi="宋体"/>
          <w:sz w:val="21"/>
          <w:vertAlign w:val="superscript"/>
          <w:lang w:eastAsia="zh-CN"/>
        </w:rPr>
        <w:t>3</w:t>
      </w:r>
      <w:r w:rsidRPr="00F67FFA">
        <w:rPr>
          <w:rFonts w:ascii="宋体" w:hAnsi="宋体"/>
          <w:sz w:val="21"/>
          <w:lang w:eastAsia="zh-CN"/>
        </w:rPr>
        <w:t>/千米</w:t>
      </w:r>
      <w:r w:rsidRPr="00F67FFA">
        <w:rPr>
          <w:rFonts w:ascii="宋体" w:hAnsi="宋体"/>
          <w:sz w:val="21"/>
          <w:vertAlign w:val="superscript"/>
          <w:lang w:eastAsia="zh-CN"/>
        </w:rPr>
        <w:t>2</w:t>
      </w:r>
      <w:r w:rsidRPr="00F67FFA">
        <w:rPr>
          <w:rFonts w:ascii="宋体" w:hAnsi="宋体"/>
          <w:sz w:val="21"/>
          <w:lang w:eastAsia="zh-CN"/>
        </w:rPr>
        <w:t>的省级行政区域中位于沿海的省级行政区域简称是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。 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(3)图中所示三条河流中,流域内水资源拥有量最少的是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,该河流流域内水资源时间分配的特点是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。目前该流域面临严峻的水危机,其主要的人为原因有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</w:t>
      </w:r>
      <w:r w:rsidRPr="00F67FFA">
        <w:rPr>
          <w:rFonts w:ascii="宋体" w:hAnsi="宋体"/>
          <w:sz w:val="21"/>
          <w:lang w:eastAsia="zh-CN"/>
        </w:rPr>
        <w:t>。 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(4)根据区域开发的原理,你认为该流域水资源开发机构可进行的主要工作有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</w:t>
      </w:r>
      <w:r w:rsidRPr="00F67FFA">
        <w:rPr>
          <w:rFonts w:ascii="宋体" w:hAnsi="宋体"/>
          <w:sz w:val="21"/>
          <w:lang w:eastAsia="zh-CN"/>
        </w:rPr>
        <w:t>等。 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(1)(2)题,根据图例很容易得出答案。第(3)题,结合图例可以判断出黄河流域的水资源拥有量最少。受季风气候的影响,黄河流域水资源夏秋多,冬春少。由于人口密集,经济发展迅速,水资源的利用率低以及水污染等原因,黄河流域面临严峻的水危机。第(4)题,针对黄河流域面临的水危机、自然灾害和生态环境等问题,要采取相应的解决措施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(1)南多北少,东多西少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(2)冀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(3)黄河　夏秋多,冬春少　需水量大,供不应求;水资源利用率低;水资源污染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(4)维护流域生态环境,加强水资源管理,统筹安排供水抗旱防洪工作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22</w:t>
      </w:r>
      <w:r w:rsidRPr="00F67FFA">
        <w:rPr>
          <w:rFonts w:ascii="宋体" w:hAnsi="宋体"/>
          <w:sz w:val="21"/>
          <w:lang w:eastAsia="zh-CN"/>
        </w:rPr>
        <w:t>.(16分)阅读下列材料,完成下列各题。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材料一:2013年6月25日是第23个全国“土地日”。该年的宣传主题是:“珍惜土地资源　节约集约用地”。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材料二:我国耕地数量的变化图。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463165" cy="1459865"/>
            <wp:effectExtent l="0" t="0" r="0" b="0"/>
            <wp:docPr id="256" name="K43.eps" descr="id:21474910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091994" name="K43.eps" descr="id:214749109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480" cy="146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材料三:我国省级行政区人均耕地差异分布图。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  <w:r w:rsidRPr="00F67FFA">
        <w:rPr>
          <w:rFonts w:ascii="宋体" w:hAnsi="宋体"/>
          <w:noProof/>
          <w:sz w:val="21"/>
          <w:lang w:eastAsia="zh-CN" w:bidi="ar-SA"/>
        </w:rPr>
        <w:drawing>
          <wp:inline distT="0" distB="0" distL="0" distR="0">
            <wp:extent cx="2349500" cy="1869440"/>
            <wp:effectExtent l="0" t="0" r="0" b="0"/>
            <wp:docPr id="257" name="K44.eps" descr="id:21474910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367501" name="K44.eps" descr="id:214749109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0080" cy="186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(1)根据材料二及我国人口变化的特点,分析我国人均耕地面积的变化,并分析导致这种变化的主要原因。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(2)要解决材料三中a地区粮食生产面临的生态环境问题,应采取哪些措施?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(3)说明b、c、d三省人均耕地数量少的共同原因。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(4)据以上材料找出我国人均耕地数量不容乐观的三个理由。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本题主要考查我国耕地资源的现状及解决措施。第(1)题,由材料二可以看出,我国耕地面积呈下降的趋势,而我国人口却在不断增长,所以我国人均耕地面积呈逐渐减少的趋势;这种变化趋势的形成原因是人口的快速增长和耕地面积的不断减少。第(2)题,a地区为东北三江平原和松嫩平原,是商品粮基地,其粮食生产面临的生态环境问题主要是黑土的流失,土壤肥力下降;解决的措施主要围绕保土保肥方面。第(3)题,b、c、d分别为浙江、福建、广东,三省均为东部沿海经济发达地区,人均耕地数量少的原因可从人口稠密、耕地总量少、城市化水平高,非农业用地比重大等方面分析。第(4)题,分析材料二、材料三即可得出答案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(1)人均耕地面积呈下降的趋势。原因:人口的快速增长;非农业建设用地增长迅速,占用耕地,使耕地面积减少。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(2)植树造林;保护湿地(保护沼泽);保持土壤肥力(增施有机肥;秸秆还田;用养结合)。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(3)山地、丘陵比重大(平原比重小);人口密度大;非农业用地比重大(城市化水平高)。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(4)绝大多数省级行政区的人均耕地低于世界平均水平;一些省级行政区的人均耕地已经在警戒线以下;人均耕地面积呈下降趋势。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</w:rPr>
      </w:pPr>
      <w:r w:rsidRPr="00F67FFA">
        <w:rPr>
          <w:rFonts w:ascii="宋体" w:hAnsi="宋体"/>
          <w:b/>
          <w:sz w:val="21"/>
          <w:lang w:eastAsia="zh-CN"/>
        </w:rPr>
        <w:t>23</w:t>
      </w:r>
      <w:r w:rsidRPr="00F67FFA">
        <w:rPr>
          <w:rFonts w:ascii="宋体" w:hAnsi="宋体"/>
          <w:sz w:val="21"/>
          <w:lang w:eastAsia="zh-CN"/>
        </w:rPr>
        <w:t>.(10分)下表为我国国土资源部矿产资源开采利用、矿山地质环境治理和矿区土地复垦规划数据表(2008~2015年)。</w:t>
      </w:r>
      <w:r w:rsidRPr="00F67FFA">
        <w:rPr>
          <w:rFonts w:ascii="宋体" w:hAnsi="宋体"/>
          <w:sz w:val="21"/>
        </w:rPr>
        <w:t>据此完成下列各题。</w:t>
      </w:r>
    </w:p>
    <w:tbl>
      <w:tblPr>
        <w:tblStyle w:val="TableGrid"/>
        <w:tblW w:w="4763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846"/>
        <w:gridCol w:w="2196"/>
        <w:gridCol w:w="928"/>
        <w:gridCol w:w="793"/>
      </w:tblGrid>
      <w:tr>
        <w:tblPrEx>
          <w:tblW w:w="4763" w:type="dxa"/>
          <w:jc w:val="center"/>
          <w:tbl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  <w:insideH w:val="single" w:sz="8" w:space="0" w:color="auto"/>
            <w:insideV w:val="single" w:sz="8" w:space="0" w:color="auto"/>
          </w:tblBorders>
          <w:tblLayout w:type="fixed"/>
          <w:tblLook w:val="04A0"/>
        </w:tblPrEx>
        <w:trPr>
          <w:jc w:val="center"/>
        </w:trPr>
        <w:tc>
          <w:tcPr>
            <w:tcW w:w="3042" w:type="dxa"/>
            <w:gridSpan w:val="2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指标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2010年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2015年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 w:val="restart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atLeas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noProof/>
                <w:sz w:val="21"/>
                <w:lang w:eastAsia="zh-CN" w:bidi="ar-SA"/>
              </w:rPr>
              <w:drawing>
                <wp:inline distT="0" distB="0" distL="0" distR="0">
                  <wp:extent cx="100330" cy="1008380"/>
                  <wp:effectExtent l="0" t="0" r="0" b="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416943" name="Picture 25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40" cy="100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原油(亿吨)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&gt;1.9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&gt;2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原煤(亿吨)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&gt;29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&gt;33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煤层气(地面抽采)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(亿立方米)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50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100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天然气(亿立方米)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&gt;1 100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&gt;1 600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铁矿石(亿吨)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9.4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11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钨(WO365%)(万吨)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7.47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7.8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锡(金属)(万吨)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15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锑(金属)(万吨)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13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14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稀土(REO)(万吨)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12.22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14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矿产资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源储备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与保护</w:t>
            </w: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重要矿产地储备(处)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40~50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40~50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矿产资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源开发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利用规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模结构</w:t>
            </w: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大中型矿山比例(%)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9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10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 w:val="restart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矿产资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源节约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与综合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利用</w:t>
            </w: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矿产资源总回收率</w:t>
            </w:r>
          </w:p>
        </w:tc>
        <w:tc>
          <w:tcPr>
            <w:tcW w:w="928" w:type="dxa"/>
            <w:vMerge w:val="restart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提高3个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百分点</w:t>
            </w:r>
          </w:p>
        </w:tc>
        <w:tc>
          <w:tcPr>
            <w:tcW w:w="793" w:type="dxa"/>
            <w:vMerge w:val="restart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共伴生矿产综合利用率</w:t>
            </w:r>
          </w:p>
        </w:tc>
        <w:tc>
          <w:tcPr>
            <w:tcW w:w="928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  <w:lang w:eastAsia="zh-CN"/>
              </w:rPr>
            </w:pPr>
          </w:p>
        </w:tc>
        <w:tc>
          <w:tcPr>
            <w:tcW w:w="793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  <w:lang w:eastAsia="zh-CN"/>
              </w:rPr>
            </w:pP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 w:val="restart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矿山地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质环境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恢复治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理率(%)</w:t>
            </w: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新建和生产矿山</w:t>
            </w:r>
          </w:p>
        </w:tc>
        <w:tc>
          <w:tcPr>
            <w:tcW w:w="1721" w:type="dxa"/>
            <w:gridSpan w:val="2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全面治理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历史遗留矿山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25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35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 w:val="restart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矿区土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地复垦</w:t>
            </w:r>
          </w:p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率(%)</w:t>
            </w: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新建和在建矿山毁损</w:t>
            </w:r>
            <w:r w:rsidRPr="00F67FFA">
              <w:rPr>
                <w:rFonts w:ascii="宋体" w:hAnsi="宋体"/>
                <w:sz w:val="21"/>
                <w:lang w:eastAsia="zh-CN"/>
              </w:rPr>
              <w:t>土地</w:t>
            </w:r>
          </w:p>
        </w:tc>
        <w:tc>
          <w:tcPr>
            <w:tcW w:w="1721" w:type="dxa"/>
            <w:gridSpan w:val="2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全面复垦</w:t>
            </w:r>
          </w:p>
        </w:tc>
      </w:tr>
      <w:tr>
        <w:tblPrEx>
          <w:tblW w:w="4763" w:type="dxa"/>
          <w:jc w:val="center"/>
          <w:tblLayout w:type="fixed"/>
          <w:tblLook w:val="04A0"/>
        </w:tblPrEx>
        <w:trPr>
          <w:jc w:val="center"/>
        </w:trPr>
        <w:tc>
          <w:tcPr>
            <w:tcW w:w="846" w:type="dxa"/>
            <w:vMerge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rPr>
                <w:rFonts w:ascii="宋体" w:hAnsi="宋体"/>
                <w:sz w:val="21"/>
              </w:rPr>
            </w:pPr>
          </w:p>
        </w:tc>
        <w:tc>
          <w:tcPr>
            <w:tcW w:w="2196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  <w:lang w:eastAsia="zh-CN"/>
              </w:rPr>
            </w:pPr>
            <w:r w:rsidRPr="00F67FFA">
              <w:rPr>
                <w:rFonts w:ascii="宋体" w:hAnsi="宋体"/>
                <w:sz w:val="21"/>
                <w:lang w:eastAsia="zh-CN"/>
              </w:rPr>
              <w:t>历史遗留矿山废弃土地</w:t>
            </w:r>
          </w:p>
        </w:tc>
        <w:tc>
          <w:tcPr>
            <w:tcW w:w="928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25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246F7" w:rsidRPr="00F67FFA">
            <w:pPr>
              <w:tabs>
                <w:tab w:val="left" w:pos="1621"/>
                <w:tab w:val="left" w:pos="2914"/>
                <w:tab w:val="left" w:pos="3997"/>
                <w:tab w:val="left" w:pos="5074"/>
              </w:tabs>
              <w:spacing w:line="270" w:lineRule="exact"/>
              <w:rPr>
                <w:rFonts w:ascii="宋体" w:hAnsi="宋体"/>
                <w:sz w:val="21"/>
              </w:rPr>
            </w:pPr>
            <w:r w:rsidRPr="00F67FFA">
              <w:rPr>
                <w:rFonts w:ascii="宋体" w:hAnsi="宋体"/>
                <w:sz w:val="21"/>
              </w:rPr>
              <w:t>30</w:t>
            </w:r>
          </w:p>
        </w:tc>
      </w:tr>
    </w:tbl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70" w:lineRule="exact"/>
        <w:rPr>
          <w:rFonts w:ascii="宋体" w:hAnsi="宋体"/>
          <w:sz w:val="21"/>
        </w:rPr>
      </w:pP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(1)2015年与2010年相比,我国矿物能源开采总量的变化主要有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和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。 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(2)影响我国矿物能源开采总量这种变化的主导因素有</w:t>
      </w:r>
      <w:r w:rsidRPr="00F67FFA">
        <w:rPr>
          <w:rFonts w:ascii="宋体" w:hAnsi="宋体"/>
          <w:color w:val="FF0000"/>
          <w:sz w:val="21"/>
          <w:u w:val="single" w:color="000000"/>
          <w:lang w:eastAsia="zh-CN"/>
        </w:rPr>
        <w:t>　　　　</w:t>
      </w:r>
      <w:r w:rsidRPr="00F67FFA">
        <w:rPr>
          <w:rFonts w:ascii="宋体" w:hAnsi="宋体"/>
          <w:sz w:val="21"/>
          <w:lang w:eastAsia="zh-CN"/>
        </w:rPr>
        <w:t>。 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(3)我国为合理开发利用矿产资源,应采取哪些对策?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第(1)题,认真阅读表格中的数据便可得出结论。第(2)题,我国矿物能源开采总量这种变化主要是受经济因素、环境因素以及政策因素的影响。第(3)题,由表中的数据可以看出,我国为合理开发利用矿产资源建立了矿产地储备基地,提高了大中型矿山比例。针对矿产资源在开发利用过程中产生的环境污染、生态破坏等问题,我国提高了矿产资源节约与综合利用率,提高了矿区复垦率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(1)各类能源开采总量均在增长　煤层气、天然气增幅较大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(2)经济、环境、政策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(3)建立矿产地储备基地,增加储备量;提高大中型矿山比例;提高矿产资源节约与综合利用率;提高矿区复垦率。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b/>
          <w:sz w:val="21"/>
          <w:lang w:eastAsia="zh-CN"/>
        </w:rPr>
        <w:t>24</w:t>
      </w:r>
      <w:r w:rsidRPr="00F67FFA">
        <w:rPr>
          <w:rFonts w:ascii="宋体" w:hAnsi="宋体"/>
          <w:sz w:val="21"/>
          <w:lang w:eastAsia="zh-CN"/>
        </w:rPr>
        <w:t>.(10分)阅读下列材料,完成下列各题。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spacing w:line="285" w:lineRule="atLeast"/>
        <w:jc w:val="center"/>
        <w:rPr>
          <w:rFonts w:ascii="宋体" w:hAnsi="宋体"/>
          <w:sz w:val="21"/>
        </w:rPr>
      </w:pP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(1)说出A区域面临的生态问题及其引发的次生环境问题。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(2)B、C两区域生态问题相同,说明危害更严重的地区及理由。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(3)比较D、E两区域森林主要生态功能的差异。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解析:</w:t>
      </w:r>
      <w:r w:rsidRPr="00F67FFA">
        <w:rPr>
          <w:rFonts w:ascii="宋体" w:hAnsi="宋体"/>
          <w:sz w:val="21"/>
          <w:lang w:eastAsia="zh-CN"/>
        </w:rPr>
        <w:t>图中A区域为南方丘陵山区,面临的主要生态问题为土壤侵蚀,易引发石漠化。B、C均面临土壤侵蚀,但B地区危害更严重,这与当地的自然条件和社会经济条件密不可分。D处森林具有防风固沙、保护农田的作用,E区域森林具有涵养水源、保持水土的作用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color w:val="FF0000"/>
          <w:sz w:val="21"/>
          <w:lang w:eastAsia="zh-CN"/>
        </w:rPr>
        <w:t>答案:</w:t>
      </w:r>
      <w:r w:rsidRPr="00F67FFA">
        <w:rPr>
          <w:rFonts w:ascii="宋体" w:hAnsi="宋体"/>
          <w:sz w:val="21"/>
          <w:lang w:eastAsia="zh-CN"/>
        </w:rPr>
        <w:t>(1)土壤侵蚀。石漠化(或土壤贫瘠)。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(2)B区域更严重。原因:地表起伏大,土层薄;位于河流下游,城市密集,经济发达;土地生产能力高。</w:t>
      </w:r>
    </w:p>
    <w:p w:rsidR="00B246F7" w:rsidRPr="00F67FFA">
      <w:pPr>
        <w:tabs>
          <w:tab w:val="left" w:pos="1621"/>
          <w:tab w:val="left" w:pos="2914"/>
          <w:tab w:val="left" w:pos="3997"/>
          <w:tab w:val="left" w:pos="5074"/>
        </w:tabs>
        <w:ind w:firstLine="420" w:firstLineChars="200"/>
        <w:rPr>
          <w:rFonts w:ascii="宋体" w:hAnsi="宋体"/>
          <w:sz w:val="21"/>
          <w:lang w:eastAsia="zh-CN"/>
        </w:rPr>
      </w:pPr>
      <w:r w:rsidRPr="00F67FFA">
        <w:rPr>
          <w:rFonts w:ascii="宋体" w:hAnsi="宋体"/>
          <w:sz w:val="21"/>
          <w:lang w:eastAsia="zh-CN"/>
        </w:rPr>
        <w:t>(3)D区域:防风固沙、保护农田。E区域:涵养水源、保持水土。</w:t>
      </w:r>
    </w:p>
    <w:p w:rsidR="0081008F">
      <w:pPr>
        <w:rPr>
          <w:rFonts w:ascii="宋体" w:hAnsi="宋体"/>
          <w:sz w:val="21"/>
          <w:lang w:eastAsia="zh-CN"/>
        </w:rPr>
      </w:pPr>
    </w:p>
    <w:p w:rsidR="0081008F"/>
    <w:p w:rsidR="00B246F7" w:rsidRPr="00F67FFA">
      <w:pPr>
        <w:rPr>
          <w:rFonts w:ascii="宋体" w:hAnsi="宋体"/>
          <w:sz w:val="21"/>
          <w:lang w:eastAsia="zh-CN"/>
        </w:rPr>
      </w:pPr>
    </w:p>
    <w:sectPr w:rsidSect="002E48C0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1907" w:h="16839"/>
      <w:pgMar w:top="1440" w:right="1440" w:bottom="1440" w:left="1440" w:header="720" w:footer="720" w:gutter="0"/>
      <w:cols w:space="720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NEU-BZ">
    <w:altName w:val="微软雅黑"/>
    <w:charset w:val="86"/>
    <w:family w:val="script"/>
    <w:pitch w:val="default"/>
    <w:sig w:usb0="00000000" w:usb1="00000000" w:usb2="000A005E" w:usb3="00000000" w:csb0="003C0041" w:csb1="00000000"/>
  </w:font>
  <w:font w:name="方正书宋_GBK">
    <w:altName w:val="Arial Unicode MS"/>
    <w:charset w:val="86"/>
    <w:family w:val="script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08F" w:rsidP="004A236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81008F" w:rsidP="0081008F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08F" w:rsidP="004A236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81008F" w:rsidP="0081008F">
    <w:pPr>
      <w:pStyle w:val="Footer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08F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08F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08F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08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4476B24"/>
    <w:multiLevelType w:val="multilevel"/>
    <w:tmpl w:val="54476B24"/>
    <w:lvl w:ilvl="0" w:tentative="1">
      <w:start w:val="1"/>
      <w:numFmt w:val="bullet"/>
      <w:pStyle w:val="ListBullet"/>
      <w:lvlText w:val=""/>
      <w:lvlJc w:val="left"/>
      <w:pPr>
        <w:tabs>
          <w:tab w:val="left" w:pos="360"/>
        </w:tabs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pStyle w:val="ListBullet2"/>
      <w:lvlText w:val="o"/>
      <w:lvlJc w:val="left"/>
      <w:pPr>
        <w:tabs>
          <w:tab w:val="left" w:pos="720"/>
        </w:tabs>
        <w:ind w:left="1080" w:hanging="360"/>
      </w:pPr>
      <w:rPr>
        <w:rFonts w:ascii="Courier New" w:hAnsi="Courier New" w:hint="default"/>
      </w:rPr>
    </w:lvl>
    <w:lvl w:ilvl="2" w:tentative="1">
      <w:start w:val="1"/>
      <w:numFmt w:val="bullet"/>
      <w:pStyle w:val="ListBullet3"/>
      <w:lvlText w:val=""/>
      <w:lvlJc w:val="left"/>
      <w:pPr>
        <w:tabs>
          <w:tab w:val="left" w:pos="1080"/>
        </w:tabs>
        <w:ind w:left="1440" w:hanging="360"/>
      </w:pPr>
      <w:rPr>
        <w:rFonts w:ascii="Wingdings" w:hAnsi="Wingdings" w:hint="default"/>
      </w:rPr>
    </w:lvl>
    <w:lvl w:ilvl="3" w:tentative="1">
      <w:start w:val="1"/>
      <w:numFmt w:val="bullet"/>
      <w:pStyle w:val="ListBullet4"/>
      <w:lvlText w:val=""/>
      <w:lvlJc w:val="left"/>
      <w:pPr>
        <w:tabs>
          <w:tab w:val="left" w:pos="1440"/>
        </w:tabs>
        <w:ind w:left="1800" w:hanging="360"/>
      </w:pPr>
      <w:rPr>
        <w:rFonts w:ascii="Wingdings" w:hAnsi="Wingdings" w:hint="default"/>
      </w:rPr>
    </w:lvl>
    <w:lvl w:ilvl="4" w:tentative="1">
      <w:start w:val="1"/>
      <w:numFmt w:val="bullet"/>
      <w:pStyle w:val="ListBullet5"/>
      <w:lvlText w:val=""/>
      <w:lvlJc w:val="left"/>
      <w:pPr>
        <w:tabs>
          <w:tab w:val="left" w:pos="1800"/>
        </w:tabs>
        <w:ind w:left="2160" w:hanging="360"/>
      </w:pPr>
      <w:rPr>
        <w:rFonts w:ascii="Wingdings" w:hAnsi="Wingdings" w:hint="default"/>
      </w:rPr>
    </w:lvl>
    <w:lvl w:ilvl="5" w:tentative="1">
      <w:start w:val="1"/>
      <w:numFmt w:val="none"/>
      <w:lvlJc w:val="left"/>
      <w:pPr>
        <w:tabs>
          <w:tab w:val="left" w:pos="2160"/>
        </w:tabs>
        <w:ind w:left="2520" w:hanging="360"/>
      </w:pPr>
      <w:rPr>
        <w:rFonts w:hint="default"/>
      </w:rPr>
    </w:lvl>
    <w:lvl w:ilvl="6" w:tentative="1">
      <w:start w:val="1"/>
      <w:numFmt w:val="none"/>
      <w:lvlText w:val="%7"/>
      <w:lvlJc w:val="left"/>
      <w:pPr>
        <w:tabs>
          <w:tab w:val="left" w:pos="2520"/>
        </w:tabs>
        <w:ind w:left="2880" w:hanging="360"/>
      </w:pPr>
      <w:rPr>
        <w:rFonts w:hint="default"/>
      </w:rPr>
    </w:lvl>
    <w:lvl w:ilvl="7" w:tentative="1">
      <w:start w:val="1"/>
      <w:numFmt w:val="none"/>
      <w:lvlJc w:val="left"/>
      <w:pPr>
        <w:tabs>
          <w:tab w:val="left" w:pos="2880"/>
        </w:tabs>
        <w:ind w:left="3240" w:hanging="360"/>
      </w:pPr>
      <w:rPr>
        <w:rFonts w:hint="default"/>
      </w:rPr>
    </w:lvl>
    <w:lvl w:ilvl="8" w:tentative="1">
      <w:start w:val="1"/>
      <w:numFmt w:val="none"/>
      <w:lvlJc w:val="left"/>
      <w:pPr>
        <w:tabs>
          <w:tab w:val="left" w:pos="3240"/>
        </w:tabs>
        <w:ind w:left="3600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oNotTrackMoves/>
  <w:defaultTabStop w:val="720"/>
  <w:drawingGridHorizontalSpacing w:val="144"/>
  <w:drawingGridVerticalSpacing w:val="144"/>
  <w:displayVerticalDrawingGridEvery w:val="2"/>
  <w:noPunctuationKerning/>
  <w:characterSpacingControl w:val="doNotCompress"/>
  <w:compat>
    <w:spaceForUL/>
    <w:ulTrailSpace/>
    <w:useFELayout/>
  </w:compat>
  <w:rsids>
    <w:rsidRoot w:val="00000000"/>
    <w:rsid w:val="004A2361"/>
    <w:rsid w:val="0081008F"/>
    <w:rsid w:val="00B246F7"/>
    <w:rsid w:val="00F67FFA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uiPriority="2" w:qFormat="1"/>
    <w:lsdException w:name="heading 1" w:qFormat="1"/>
    <w:lsdException w:name="heading 2" w:uiPriority="9" w:qFormat="1"/>
    <w:lsdException w:name="heading 3" w:uiPriority="9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nhideWhenUsed="1"/>
    <w:lsdException w:name="footer" w:unhideWhenUsed="1"/>
    <w:lsdException w:name="caption" w:semiHidden="1" w:unhideWhenUsed="1" w:qFormat="1"/>
    <w:lsdException w:name="annotation reference" w:semiHidden="1" w:unhideWhenUsed="1"/>
    <w:lsdException w:name="List Bullet" w:uiPriority="4" w:qFormat="1"/>
    <w:lsdException w:name="List Bullet 2" w:uiPriority="99"/>
    <w:lsdException w:name="List Bullet 3" w:uiPriority="99"/>
    <w:lsdException w:name="List Bullet 4" w:uiPriority="99"/>
    <w:lsdException w:name="List Bullet 5" w:uiPriority="99"/>
    <w:lsdException w:name="Title" w:uiPriority="10" w:qFormat="1"/>
    <w:lsdException w:name="Default Paragraph Font" w:semiHidden="1" w:uiPriority="1" w:unhideWhenUsed="1"/>
    <w:lsdException w:name="Body Text" w:uiPriority="1" w:qFormat="1"/>
    <w:lsdException w:name="Subtitle" w:qFormat="1"/>
    <w:lsdException w:name="Strong" w:uiPriority="12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uiPriority w:val="2"/>
    <w:qFormat/>
    <w:rsid w:val="002E48C0"/>
    <w:rPr>
      <w:sz w:val="24"/>
      <w:szCs w:val="24"/>
      <w:lang w:eastAsia="en-US" w:bidi="en-US"/>
    </w:rPr>
  </w:style>
  <w:style w:type="paragraph" w:styleId="Heading1">
    <w:name w:val="heading 1"/>
    <w:basedOn w:val="Normal"/>
    <w:next w:val="Normal"/>
    <w:link w:val="1Char"/>
    <w:qFormat/>
    <w:rsid w:val="002E48C0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2Char"/>
    <w:uiPriority w:val="9"/>
    <w:qFormat/>
    <w:rsid w:val="002E48C0"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3Char"/>
    <w:uiPriority w:val="9"/>
    <w:qFormat/>
    <w:rsid w:val="002E48C0"/>
    <w:pPr>
      <w:keepNext/>
      <w:spacing w:before="240" w:after="60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4Char"/>
    <w:qFormat/>
    <w:rsid w:val="002E48C0"/>
    <w:pPr>
      <w:keepNext/>
      <w:keepLines/>
      <w:spacing w:before="200"/>
      <w:outlineLvl w:val="3"/>
    </w:pPr>
    <w:rPr>
      <w:rFonts w:ascii="Arial" w:eastAsia="Times New Roman" w:hAnsi="Arial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4">
    <w:name w:val="List Bullet 4"/>
    <w:basedOn w:val="Normal"/>
    <w:uiPriority w:val="99"/>
    <w:rsid w:val="002E48C0"/>
    <w:pPr>
      <w:numPr>
        <w:ilvl w:val="3"/>
        <w:numId w:val="1"/>
      </w:numPr>
      <w:contextualSpacing/>
    </w:pPr>
  </w:style>
  <w:style w:type="paragraph" w:styleId="ListBullet">
    <w:name w:val="List Bullet"/>
    <w:basedOn w:val="Normal"/>
    <w:uiPriority w:val="4"/>
    <w:qFormat/>
    <w:rsid w:val="002E48C0"/>
    <w:pPr>
      <w:numPr>
        <w:numId w:val="1"/>
      </w:numPr>
      <w:spacing w:after="180"/>
    </w:pPr>
  </w:style>
  <w:style w:type="paragraph" w:styleId="ListBullet3">
    <w:name w:val="List Bullet 3"/>
    <w:basedOn w:val="Normal"/>
    <w:uiPriority w:val="99"/>
    <w:rsid w:val="002E48C0"/>
    <w:pPr>
      <w:numPr>
        <w:ilvl w:val="2"/>
        <w:numId w:val="1"/>
      </w:numPr>
      <w:contextualSpacing/>
    </w:pPr>
  </w:style>
  <w:style w:type="paragraph" w:styleId="BodyText">
    <w:name w:val="Body Text"/>
    <w:basedOn w:val="Normal"/>
    <w:link w:val="Char0"/>
    <w:uiPriority w:val="1"/>
    <w:qFormat/>
    <w:rsid w:val="002E48C0"/>
    <w:pPr>
      <w:spacing w:after="180"/>
    </w:pPr>
  </w:style>
  <w:style w:type="paragraph" w:styleId="ListBullet2">
    <w:name w:val="List Bullet 2"/>
    <w:basedOn w:val="Normal"/>
    <w:uiPriority w:val="99"/>
    <w:rsid w:val="002E48C0"/>
    <w:pPr>
      <w:numPr>
        <w:ilvl w:val="1"/>
        <w:numId w:val="1"/>
      </w:numPr>
      <w:contextualSpacing/>
    </w:pPr>
  </w:style>
  <w:style w:type="paragraph" w:styleId="PlainText">
    <w:name w:val="Plain Text"/>
    <w:basedOn w:val="Normal"/>
    <w:link w:val="Char4"/>
    <w:rsid w:val="002E48C0"/>
    <w:pPr>
      <w:widowControl w:val="0"/>
      <w:spacing w:line="240" w:lineRule="auto"/>
      <w:jc w:val="both"/>
    </w:pPr>
    <w:rPr>
      <w:rFonts w:ascii="宋体" w:hAnsi="Courier New" w:cs="Courier New"/>
      <w:kern w:val="2"/>
      <w:sz w:val="21"/>
      <w:szCs w:val="21"/>
      <w:lang w:eastAsia="zh-CN" w:bidi="ar-SA"/>
    </w:rPr>
  </w:style>
  <w:style w:type="paragraph" w:styleId="ListBullet5">
    <w:name w:val="List Bullet 5"/>
    <w:basedOn w:val="Normal"/>
    <w:uiPriority w:val="99"/>
    <w:rsid w:val="002E48C0"/>
    <w:pPr>
      <w:numPr>
        <w:ilvl w:val="4"/>
        <w:numId w:val="1"/>
      </w:numPr>
      <w:contextualSpacing/>
    </w:pPr>
  </w:style>
  <w:style w:type="paragraph" w:styleId="BalloonText">
    <w:name w:val="Balloon Text"/>
    <w:basedOn w:val="Normal"/>
    <w:link w:val="Char6"/>
    <w:qFormat/>
    <w:rsid w:val="002E48C0"/>
    <w:pPr>
      <w:spacing w:line="240" w:lineRule="auto"/>
    </w:pPr>
    <w:rPr>
      <w:sz w:val="18"/>
      <w:szCs w:val="18"/>
    </w:rPr>
  </w:style>
  <w:style w:type="paragraph" w:styleId="Footer">
    <w:name w:val="footer"/>
    <w:basedOn w:val="Normal"/>
    <w:link w:val="Char2"/>
    <w:unhideWhenUsed/>
    <w:rsid w:val="002E48C0"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Char5"/>
    <w:unhideWhenUsed/>
    <w:rsid w:val="002E48C0"/>
    <w:pPr>
      <w:tabs>
        <w:tab w:val="center" w:pos="4680"/>
        <w:tab w:val="right" w:pos="9360"/>
      </w:tabs>
    </w:pPr>
  </w:style>
  <w:style w:type="paragraph" w:styleId="NormalWeb">
    <w:name w:val="Normal (Web)"/>
    <w:basedOn w:val="Normal"/>
    <w:rsid w:val="002E48C0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color w:val="000000"/>
      <w:lang w:bidi="ar-SA"/>
    </w:rPr>
  </w:style>
  <w:style w:type="paragraph" w:styleId="Title">
    <w:name w:val="Title"/>
    <w:basedOn w:val="Normal"/>
    <w:next w:val="Normal"/>
    <w:link w:val="Char"/>
    <w:uiPriority w:val="10"/>
    <w:qFormat/>
    <w:rsid w:val="002E48C0"/>
    <w:pPr>
      <w:spacing w:before="240" w:after="60"/>
      <w:jc w:val="center"/>
      <w:outlineLvl w:val="0"/>
    </w:pPr>
    <w:rPr>
      <w:rFonts w:ascii="Arial" w:eastAsia="Times New Roman" w:hAnsi="Arial"/>
      <w:b/>
      <w:bCs/>
      <w:kern w:val="28"/>
      <w:sz w:val="32"/>
      <w:szCs w:val="32"/>
    </w:rPr>
  </w:style>
  <w:style w:type="character" w:styleId="Strong">
    <w:name w:val="Strong"/>
    <w:uiPriority w:val="12"/>
    <w:qFormat/>
    <w:rsid w:val="002E48C0"/>
    <w:rPr>
      <w:b/>
      <w:bCs/>
    </w:rPr>
  </w:style>
  <w:style w:type="character" w:styleId="PageNumber">
    <w:name w:val="page number"/>
    <w:basedOn w:val="DefaultParagraphFont"/>
    <w:rsid w:val="002E48C0"/>
  </w:style>
  <w:style w:type="character" w:styleId="Emphasis">
    <w:name w:val="Emphasis"/>
    <w:uiPriority w:val="20"/>
    <w:qFormat/>
    <w:rsid w:val="002E48C0"/>
    <w:rPr>
      <w:rFonts w:ascii="Times New Roman" w:hAnsi="Times New Roman"/>
      <w:b/>
      <w:i/>
      <w:iCs/>
    </w:rPr>
  </w:style>
  <w:style w:type="character" w:styleId="CommentReference">
    <w:name w:val="annotation reference"/>
    <w:unhideWhenUsed/>
    <w:rsid w:val="002E48C0"/>
    <w:rPr>
      <w:vanish/>
      <w:sz w:val="16"/>
      <w:szCs w:val="16"/>
    </w:rPr>
  </w:style>
  <w:style w:type="table" w:styleId="TableGrid">
    <w:name w:val="Table Grid"/>
    <w:basedOn w:val="TableNormal"/>
    <w:uiPriority w:val="59"/>
    <w:rsid w:val="002E48C0"/>
    <w:rPr>
      <w:rFonts w:hAnsi="NEU-BZ" w:asciiTheme="minorHAnsi" w:eastAsiaTheme="minorEastAsia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标题 1 Char"/>
    <w:link w:val="Heading1"/>
    <w:uiPriority w:val="9"/>
    <w:qFormat/>
    <w:rsid w:val="002E48C0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Char">
    <w:name w:val="标题 2 Char"/>
    <w:link w:val="Heading2"/>
    <w:uiPriority w:val="9"/>
    <w:rsid w:val="002E48C0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3Char">
    <w:name w:val="标题 3 Char"/>
    <w:link w:val="Heading3"/>
    <w:uiPriority w:val="9"/>
    <w:rsid w:val="002E48C0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Char">
    <w:name w:val="标题 Char"/>
    <w:link w:val="Title"/>
    <w:uiPriority w:val="10"/>
    <w:rsid w:val="002E48C0"/>
    <w:rPr>
      <w:rFonts w:ascii="Arial" w:eastAsia="Times New Roman" w:hAnsi="Arial" w:cs="Times New Roman"/>
      <w:b/>
      <w:bCs/>
      <w:kern w:val="28"/>
      <w:sz w:val="32"/>
      <w:szCs w:val="32"/>
    </w:rPr>
  </w:style>
  <w:style w:type="character" w:customStyle="1" w:styleId="Char0">
    <w:name w:val="正文文本 Char"/>
    <w:basedOn w:val="DefaultParagraphFont"/>
    <w:link w:val="BodyText"/>
    <w:uiPriority w:val="1"/>
    <w:rsid w:val="002E48C0"/>
  </w:style>
  <w:style w:type="paragraph" w:customStyle="1" w:styleId="1">
    <w:name w:val="引用1"/>
    <w:basedOn w:val="Normal"/>
    <w:next w:val="Normal"/>
    <w:link w:val="Char1"/>
    <w:uiPriority w:val="29"/>
    <w:qFormat/>
    <w:rsid w:val="002E48C0"/>
    <w:rPr>
      <w:i/>
    </w:rPr>
  </w:style>
  <w:style w:type="character" w:customStyle="1" w:styleId="Char1">
    <w:name w:val="引用 Char"/>
    <w:link w:val="1"/>
    <w:uiPriority w:val="29"/>
    <w:rsid w:val="002E48C0"/>
    <w:rPr>
      <w:i/>
      <w:sz w:val="24"/>
      <w:szCs w:val="24"/>
    </w:rPr>
  </w:style>
  <w:style w:type="character" w:customStyle="1" w:styleId="4Char">
    <w:name w:val="标题 4 Char"/>
    <w:link w:val="Heading4"/>
    <w:semiHidden/>
    <w:rsid w:val="002E48C0"/>
    <w:rPr>
      <w:rFonts w:ascii="Arial" w:eastAsia="Times New Roman" w:hAnsi="Arial" w:cs="Times New Roman"/>
      <w:b/>
      <w:bCs/>
      <w:i/>
      <w:iCs/>
    </w:rPr>
  </w:style>
  <w:style w:type="character" w:customStyle="1" w:styleId="NoProofing">
    <w:name w:val="No Proofing"/>
    <w:uiPriority w:val="1"/>
    <w:rsid w:val="002E48C0"/>
    <w:rPr>
      <w:lang w:val="en-US"/>
    </w:rPr>
  </w:style>
  <w:style w:type="character" w:customStyle="1" w:styleId="Char2">
    <w:name w:val="页脚 Char"/>
    <w:basedOn w:val="DefaultParagraphFont"/>
    <w:link w:val="Footer"/>
    <w:uiPriority w:val="99"/>
    <w:rsid w:val="002E48C0"/>
    <w:rPr>
      <w:sz w:val="24"/>
      <w:szCs w:val="24"/>
      <w:lang w:eastAsia="en-US" w:bidi="en-US"/>
    </w:rPr>
  </w:style>
  <w:style w:type="paragraph" w:customStyle="1" w:styleId="Char3">
    <w:name w:val="Char3"/>
    <w:basedOn w:val="Normal"/>
    <w:rsid w:val="002E48C0"/>
    <w:pPr>
      <w:spacing w:line="300" w:lineRule="auto"/>
      <w:ind w:firstLine="200" w:firstLineChars="200"/>
      <w:jc w:val="both"/>
    </w:pPr>
    <w:rPr>
      <w:kern w:val="2"/>
      <w:sz w:val="21"/>
      <w:szCs w:val="20"/>
      <w:lang w:eastAsia="zh-CN" w:bidi="ar-SA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rsid w:val="002E48C0"/>
    <w:pPr>
      <w:spacing w:line="300" w:lineRule="auto"/>
      <w:ind w:firstLine="200" w:firstLineChars="200"/>
      <w:jc w:val="both"/>
    </w:pPr>
    <w:rPr>
      <w:kern w:val="2"/>
      <w:sz w:val="21"/>
      <w:szCs w:val="20"/>
      <w:lang w:eastAsia="zh-CN" w:bidi="ar-SA"/>
    </w:rPr>
  </w:style>
  <w:style w:type="character" w:customStyle="1" w:styleId="Char4">
    <w:name w:val="纯文本 Char"/>
    <w:basedOn w:val="DefaultParagraphFont"/>
    <w:link w:val="PlainText"/>
    <w:rsid w:val="002E48C0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">
    <w:name w:val="Char Char Char Char Char Char Char Char Char"/>
    <w:basedOn w:val="Normal"/>
    <w:rsid w:val="002E48C0"/>
    <w:pPr>
      <w:spacing w:line="300" w:lineRule="auto"/>
      <w:ind w:firstLine="200" w:firstLineChars="200"/>
      <w:jc w:val="both"/>
    </w:pPr>
    <w:rPr>
      <w:sz w:val="21"/>
      <w:szCs w:val="20"/>
      <w:lang w:eastAsia="zh-CN" w:bidi="ar-SA"/>
    </w:rPr>
  </w:style>
  <w:style w:type="character" w:customStyle="1" w:styleId="Char5">
    <w:name w:val="页眉 Char"/>
    <w:basedOn w:val="DefaultParagraphFont"/>
    <w:link w:val="Header"/>
    <w:rsid w:val="002E48C0"/>
    <w:rPr>
      <w:sz w:val="24"/>
      <w:szCs w:val="24"/>
      <w:lang w:eastAsia="en-US" w:bidi="en-US"/>
    </w:rPr>
  </w:style>
  <w:style w:type="character" w:customStyle="1" w:styleId="Char6">
    <w:name w:val="批注框文本 Char"/>
    <w:basedOn w:val="DefaultParagraphFont"/>
    <w:link w:val="BalloonText"/>
    <w:rsid w:val="002E48C0"/>
    <w:rPr>
      <w:sz w:val="18"/>
      <w:szCs w:val="18"/>
      <w:lang w:eastAsia="en-US" w:bidi="en-US"/>
    </w:rPr>
  </w:style>
  <w:style w:type="paragraph" w:customStyle="1" w:styleId="a">
    <w:name w:val="一级章节"/>
    <w:basedOn w:val="Normal"/>
    <w:qFormat/>
    <w:rsid w:val="002E48C0"/>
    <w:pPr>
      <w:spacing w:line="300" w:lineRule="exact"/>
      <w:outlineLvl w:val="1"/>
    </w:pPr>
    <w:rPr>
      <w:rFonts w:ascii="NEU-BZ" w:eastAsia="方正书宋_GBK" w:hAnsi="NEU-BZ" w:cstheme="minorBidi"/>
      <w:color w:val="000000"/>
      <w:sz w:val="20"/>
      <w:szCs w:val="22"/>
      <w:lang w:eastAsia="zh-CN" w:bidi="ar-SA"/>
    </w:rPr>
  </w:style>
  <w:style w:type="paragraph" w:customStyle="1" w:styleId="a0">
    <w:name w:val="二级章节"/>
    <w:basedOn w:val="Normal"/>
    <w:qFormat/>
    <w:rsid w:val="002E48C0"/>
    <w:pPr>
      <w:spacing w:line="300" w:lineRule="exact"/>
      <w:outlineLvl w:val="2"/>
    </w:pPr>
    <w:rPr>
      <w:rFonts w:ascii="NEU-BZ" w:eastAsia="方正书宋_GBK" w:hAnsi="NEU-BZ" w:cstheme="minorBidi"/>
      <w:color w:val="000000"/>
      <w:sz w:val="20"/>
      <w:szCs w:val="22"/>
      <w:lang w:eastAsia="zh-CN" w:bidi="ar-SA"/>
    </w:rPr>
  </w:style>
  <w:style w:type="paragraph" w:customStyle="1" w:styleId="a1">
    <w:name w:val="四级章节"/>
    <w:basedOn w:val="Normal"/>
    <w:qFormat/>
    <w:rsid w:val="002E48C0"/>
    <w:pPr>
      <w:spacing w:line="300" w:lineRule="exact"/>
      <w:outlineLvl w:val="4"/>
    </w:pPr>
    <w:rPr>
      <w:rFonts w:ascii="NEU-BZ" w:eastAsia="方正书宋_GBK" w:hAnsi="NEU-BZ" w:cstheme="minorBidi"/>
      <w:color w:val="000000"/>
      <w:sz w:val="20"/>
      <w:szCs w:val="22"/>
      <w:lang w:eastAsia="zh-CN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header" Target="header1.xml" /><Relationship Id="rId2" Type="http://schemas.openxmlformats.org/officeDocument/2006/relationships/webSettings" Target="webSettings.xml" /><Relationship Id="rId20" Type="http://schemas.openxmlformats.org/officeDocument/2006/relationships/header" Target="header2.xml" /><Relationship Id="rId21" Type="http://schemas.openxmlformats.org/officeDocument/2006/relationships/footer" Target="footer1.xml" /><Relationship Id="rId22" Type="http://schemas.openxmlformats.org/officeDocument/2006/relationships/footer" Target="footer2.xml" /><Relationship Id="rId23" Type="http://schemas.openxmlformats.org/officeDocument/2006/relationships/header" Target="header3.xml" /><Relationship Id="rId24" Type="http://schemas.openxmlformats.org/officeDocument/2006/relationships/footer" Target="footer3.xml" /><Relationship Id="rId25" Type="http://schemas.openxmlformats.org/officeDocument/2006/relationships/theme" Target="theme/theme1.xml" /><Relationship Id="rId26" Type="http://schemas.openxmlformats.org/officeDocument/2006/relationships/numbering" Target="numbering.xml" /><Relationship Id="rId27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6EED8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FC4F4244-96D1-4207-8EB6-27B5A1DE09C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2548</Words>
  <Characters>2880</Characters>
  <Application>Microsoft Office Word</Application>
  <DocSecurity>0</DocSecurity>
  <Lines>180</Lines>
  <Paragraphs>246</Paragraphs>
  <ScaleCrop>false</ScaleCrop>
  <Company/>
  <LinksUpToDate>false</LinksUpToDate>
  <CharactersWithSpaces>5182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2019-03-25T06:42:00Z</dcterms:created>
  <dcterms:modified xsi:type="dcterms:W3CDTF">2019-03-25T06:42:00Z</dcterms:modified>
</cp:coreProperties>
</file>